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A8C05">
      <w:pPr>
        <w:keepLines w:val="0"/>
        <w:pageBreakBefore w:val="0"/>
        <w:kinsoku/>
        <w:wordWrap/>
        <w:overflowPunct/>
        <w:topLinePunct w:val="0"/>
        <w:bidi w:val="0"/>
        <w:spacing w:line="600" w:lineRule="exact"/>
        <w:ind w:left="0"/>
        <w:jc w:val="center"/>
        <w:textAlignment w:val="auto"/>
        <w:rPr>
          <w:rFonts w:hint="eastAsia" w:hAnsi="方正小标宋_GBK" w:eastAsia="方正小标宋_GBK"/>
          <w:color w:val="auto"/>
          <w:sz w:val="44"/>
          <w:szCs w:val="44"/>
          <w:lang w:eastAsia="zh-CN"/>
        </w:rPr>
      </w:pPr>
      <w:r>
        <w:rPr>
          <w:rFonts w:hint="eastAsia" w:hAnsi="方正小标宋_GBK" w:eastAsia="方正小标宋_GBK"/>
          <w:color w:val="auto"/>
          <w:sz w:val="44"/>
          <w:szCs w:val="44"/>
          <w:lang w:eastAsia="zh-CN"/>
        </w:rPr>
        <w:t>中共中山市公安局横栏分局委员会</w:t>
      </w:r>
    </w:p>
    <w:p w14:paraId="4B58EFA5">
      <w:pPr>
        <w:keepLines w:val="0"/>
        <w:pageBreakBefore w:val="0"/>
        <w:kinsoku/>
        <w:wordWrap/>
        <w:overflowPunct/>
        <w:topLinePunct w:val="0"/>
        <w:bidi w:val="0"/>
        <w:spacing w:line="600" w:lineRule="exact"/>
        <w:ind w:left="0"/>
        <w:jc w:val="center"/>
        <w:textAlignment w:val="auto"/>
        <w:rPr>
          <w:rFonts w:hAnsi="方正小标宋_GBK" w:eastAsia="方正小标宋_GBK"/>
          <w:color w:val="auto"/>
          <w:sz w:val="44"/>
          <w:szCs w:val="44"/>
        </w:rPr>
      </w:pPr>
      <w:r>
        <w:rPr>
          <w:rFonts w:hAnsi="方正小标宋_GBK" w:eastAsia="方正小标宋_GBK"/>
          <w:color w:val="auto"/>
          <w:sz w:val="44"/>
          <w:szCs w:val="44"/>
        </w:rPr>
        <w:t>关于</w:t>
      </w:r>
      <w:r>
        <w:rPr>
          <w:rFonts w:hint="eastAsia" w:hAnsi="方正小标宋_GBK" w:eastAsia="方正小标宋_GBK"/>
          <w:color w:val="auto"/>
          <w:sz w:val="44"/>
          <w:szCs w:val="44"/>
          <w:lang w:eastAsia="zh-CN"/>
        </w:rPr>
        <w:t>十五届市委公安系统专项</w:t>
      </w:r>
      <w:r>
        <w:rPr>
          <w:rFonts w:hAnsi="方正小标宋_GBK" w:eastAsia="方正小标宋_GBK"/>
          <w:color w:val="auto"/>
          <w:sz w:val="44"/>
          <w:szCs w:val="44"/>
        </w:rPr>
        <w:t>巡察</w:t>
      </w:r>
    </w:p>
    <w:p w14:paraId="4C52233D">
      <w:pPr>
        <w:keepLines w:val="0"/>
        <w:pageBreakBefore w:val="0"/>
        <w:kinsoku/>
        <w:wordWrap/>
        <w:overflowPunct/>
        <w:topLinePunct w:val="0"/>
        <w:bidi w:val="0"/>
        <w:spacing w:line="600" w:lineRule="exact"/>
        <w:ind w:left="0"/>
        <w:jc w:val="center"/>
        <w:textAlignment w:val="auto"/>
        <w:rPr>
          <w:rFonts w:hint="eastAsia" w:hAnsi="方正小标宋_GBK" w:eastAsia="方正小标宋_GBK"/>
          <w:color w:val="auto"/>
          <w:sz w:val="44"/>
          <w:szCs w:val="44"/>
          <w:lang w:eastAsia="zh-CN"/>
        </w:rPr>
      </w:pPr>
      <w:r>
        <w:rPr>
          <w:rFonts w:hint="eastAsia" w:hAnsi="方正小标宋_GBK" w:eastAsia="方正小标宋_GBK"/>
          <w:color w:val="auto"/>
          <w:sz w:val="44"/>
          <w:szCs w:val="44"/>
          <w:lang w:eastAsia="zh-CN"/>
        </w:rPr>
        <w:t>整改进展情况</w:t>
      </w:r>
      <w:r>
        <w:rPr>
          <w:rFonts w:hAnsi="方正小标宋_GBK" w:eastAsia="方正小标宋_GBK"/>
          <w:color w:val="auto"/>
          <w:sz w:val="44"/>
          <w:szCs w:val="44"/>
        </w:rPr>
        <w:t>的</w:t>
      </w:r>
      <w:r>
        <w:rPr>
          <w:rFonts w:hint="eastAsia" w:hAnsi="方正小标宋_GBK" w:eastAsia="方正小标宋_GBK"/>
          <w:color w:val="auto"/>
          <w:sz w:val="44"/>
          <w:szCs w:val="44"/>
          <w:lang w:eastAsia="zh-CN"/>
        </w:rPr>
        <w:t>通报</w:t>
      </w:r>
    </w:p>
    <w:p w14:paraId="4BF45534">
      <w:pPr>
        <w:keepLines w:val="0"/>
        <w:pageBreakBefore w:val="0"/>
        <w:kinsoku/>
        <w:wordWrap/>
        <w:overflowPunct/>
        <w:topLinePunct w:val="0"/>
        <w:bidi w:val="0"/>
        <w:spacing w:line="600" w:lineRule="exact"/>
        <w:ind w:left="0" w:leftChars="0" w:right="0"/>
        <w:jc w:val="both"/>
        <w:textAlignment w:val="auto"/>
        <w:rPr>
          <w:rFonts w:hint="eastAsia" w:ascii="仿宋_GB2312" w:hAnsi="仿宋_GB2312" w:eastAsia="仿宋_GB2312" w:cs="仿宋_GB2312"/>
          <w:color w:val="auto"/>
          <w:sz w:val="32"/>
          <w:szCs w:val="32"/>
          <w:lang w:eastAsia="zh-CN"/>
        </w:rPr>
      </w:pPr>
    </w:p>
    <w:p w14:paraId="67FC0279">
      <w:pPr>
        <w:keepLines w:val="0"/>
        <w:pageBreakBefore w:val="0"/>
        <w:numPr>
          <w:ilvl w:val="0"/>
          <w:numId w:val="0"/>
        </w:numPr>
        <w:kinsoku/>
        <w:wordWrap/>
        <w:overflowPunct/>
        <w:topLinePunct w:val="0"/>
        <w:bidi w:val="0"/>
        <w:spacing w:line="60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根据</w:t>
      </w:r>
      <w:r>
        <w:rPr>
          <w:rFonts w:hint="eastAsia" w:ascii="仿宋_GB2312" w:hAnsi="仿宋_GB2312" w:eastAsia="仿宋_GB2312" w:cs="仿宋_GB2312"/>
          <w:color w:val="auto"/>
          <w:sz w:val="32"/>
          <w:szCs w:val="32"/>
          <w:lang w:val="en-US" w:eastAsia="zh-CN"/>
        </w:rPr>
        <w:t>市委统一部署，2024年3月29日至6月28日，市委第三巡察组对横栏分局党委开展了专项巡察。2024年7月26日，市委巡察组向横栏分局党委反馈巡察意见。按照巡察工作有关要求，现将巡察整改进展情况予以公布。</w:t>
      </w:r>
    </w:p>
    <w:p w14:paraId="152CA657">
      <w:pPr>
        <w:keepLines w:val="0"/>
        <w:pageBreakBefore w:val="0"/>
        <w:numPr>
          <w:ilvl w:val="0"/>
          <w:numId w:val="1"/>
        </w:numPr>
        <w:kinsoku/>
        <w:wordWrap/>
        <w:overflowPunct/>
        <w:topLinePunct w:val="0"/>
        <w:bidi w:val="0"/>
        <w:spacing w:line="60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黑体" w:hAnsi="宋体" w:eastAsia="黑体" w:cs="黑体"/>
          <w:b w:val="0"/>
          <w:bCs w:val="0"/>
          <w:i w:val="0"/>
          <w:caps w:val="0"/>
          <w:color w:val="auto"/>
          <w:spacing w:val="0"/>
          <w:kern w:val="0"/>
          <w:sz w:val="32"/>
          <w:szCs w:val="32"/>
          <w:shd w:val="clear" w:color="auto" w:fill="auto"/>
          <w:lang w:val="en-US" w:eastAsia="zh-CN"/>
        </w:rPr>
        <w:t>党委履行巡察整改主体责任情况</w:t>
      </w:r>
    </w:p>
    <w:p w14:paraId="30BCAB90">
      <w:pPr>
        <w:keepLines w:val="0"/>
        <w:pageBreakBefore w:val="0"/>
        <w:numPr>
          <w:ilvl w:val="0"/>
          <w:numId w:val="0"/>
        </w:numPr>
        <w:kinsoku/>
        <w:wordWrap/>
        <w:overflowPunct/>
        <w:topLinePunct w:val="0"/>
        <w:bidi w:val="0"/>
        <w:spacing w:line="60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楷体" w:hAnsi="楷体" w:eastAsia="楷体" w:cs="楷体"/>
          <w:b w:val="0"/>
          <w:bCs w:val="0"/>
          <w:i w:val="0"/>
          <w:caps w:val="0"/>
          <w:color w:val="auto"/>
          <w:spacing w:val="0"/>
          <w:kern w:val="0"/>
          <w:sz w:val="32"/>
          <w:szCs w:val="32"/>
          <w:shd w:val="clear" w:color="auto" w:fill="auto"/>
          <w:lang w:val="en-US" w:eastAsia="zh-CN"/>
        </w:rPr>
        <w:t>（一）分局党委坚持高位推动，全面扛起巡察整改政治责任。</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分局党委坚持把抓好巡察整改作为践行“两个维护”的重要标尺，认真落实巡察反馈意见，层层扣紧压实责任，全面系统推进巡察整改落实。</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一是加强组织领导，扛起主体责任。</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分局党委全面扛起巡察整改政治责任，党委书记带头统筹组织抓好巡察整改工作，其他党委班子成员严格落实“一岗双责”，坚持以上率下抓好分管领域整改工作。</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二是细化责任分工，压实整改任务。</w:t>
      </w:r>
      <w:r>
        <w:rPr>
          <w:rFonts w:hint="eastAsia" w:ascii="仿宋_GB2312" w:hAnsi="仿宋_GB2312" w:eastAsia="仿宋_GB2312" w:cs="仿宋_GB2312"/>
          <w:color w:val="auto"/>
          <w:sz w:val="32"/>
          <w:szCs w:val="40"/>
          <w:lang w:val="en-US" w:eastAsia="zh-CN"/>
        </w:rPr>
        <w:t>分局党委多次召开巡察整改专题研究会议，</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党委班子成员逐一表态、认领责任，</w:t>
      </w:r>
      <w:r>
        <w:rPr>
          <w:rFonts w:hint="eastAsia" w:ascii="仿宋_GB2312" w:hAnsi="仿宋_GB2312" w:eastAsia="仿宋_GB2312" w:cs="仿宋_GB2312"/>
          <w:color w:val="auto"/>
          <w:sz w:val="32"/>
          <w:szCs w:val="40"/>
          <w:lang w:val="en-US" w:eastAsia="zh-CN"/>
        </w:rPr>
        <w:t>明确总牵头部门、责任部门、责任人和整改期限，牵头警种部门确定整改措施</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w:t>
      </w:r>
      <w:r>
        <w:rPr>
          <w:rFonts w:hint="eastAsia" w:ascii="仿宋_GB2312" w:hAnsi="仿宋_GB2312" w:eastAsia="仿宋_GB2312" w:cs="仿宋_GB2312"/>
          <w:color w:val="auto"/>
          <w:sz w:val="32"/>
          <w:szCs w:val="40"/>
          <w:lang w:val="en-US" w:eastAsia="zh-CN"/>
        </w:rPr>
        <w:t>推动问题整改见真章、动真格、出实效。</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三是抓实督导检查，推进整改落实。</w:t>
      </w:r>
      <w:r>
        <w:rPr>
          <w:rFonts w:hint="eastAsia" w:ascii="仿宋_GB2312" w:hAnsi="仿宋_GB2312" w:eastAsia="仿宋_GB2312" w:cs="仿宋_GB2312"/>
          <w:color w:val="auto"/>
          <w:sz w:val="32"/>
          <w:szCs w:val="40"/>
          <w:lang w:val="en-US" w:eastAsia="zh-CN"/>
        </w:rPr>
        <w:t>分局党委班子成员带头强化跟踪督办，多次组织召开分管领域巡察整改工作会议，日常主动部署、主动过问、到场督导，</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定期通报进展情况，确保件件有人抓、事事有人管，形成一级做给一级看、一级带着一级干的良好局面。</w:t>
      </w:r>
    </w:p>
    <w:p w14:paraId="486476D4">
      <w:pPr>
        <w:keepLines w:val="0"/>
        <w:pageBreakBefore w:val="0"/>
        <w:numPr>
          <w:ilvl w:val="0"/>
          <w:numId w:val="0"/>
        </w:numPr>
        <w:kinsoku/>
        <w:wordWrap/>
        <w:overflowPunct/>
        <w:topLinePunct w:val="0"/>
        <w:bidi w:val="0"/>
        <w:spacing w:line="60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楷体" w:hAnsi="楷体" w:eastAsia="楷体" w:cs="楷体"/>
          <w:b w:val="0"/>
          <w:bCs w:val="0"/>
          <w:i w:val="0"/>
          <w:caps w:val="0"/>
          <w:color w:val="auto"/>
          <w:spacing w:val="0"/>
          <w:kern w:val="0"/>
          <w:sz w:val="32"/>
          <w:szCs w:val="32"/>
          <w:shd w:val="clear" w:color="auto" w:fill="auto"/>
          <w:lang w:val="en-US" w:eastAsia="zh-CN"/>
        </w:rPr>
        <w:t>（二）党委书记坚持以上率下，全面落实巡察整改第一责任人责任。</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分局党委书记认真履行第一责任人责任，从三方面狠抓部署落实。</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一是突出“定位”抓整改。</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坚持将巡察整改作为与习近平新时代中国特色社会主义思想和党中央决策部署对标对表，切实提高履行政治责任和职责使命能力水平的过程，深刻认识巡察反馈的问题，不断增强直面问题、动真碰硬、抓好整改的政治自觉、思想自觉和行动自觉，在落实上见真章、动真格、求实效。</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二是突出“严实”抓成效。</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集中整改期间，分局党委书记充分发挥“头雁”作用，带头研究部署、带头查摆剖析、带头协调督办，先后7次主持召开党委会议，专题研究部署巡察整改工作；1次主持召开专题民主生活会，组织班子成员对照巡察反馈问题进行深刻剖析，举一反三，开展批评和自我批评。</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三是突出“融合”抓转化。</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坚持把巡察整改工作与贯彻落实党中央重大决策部署和省委、市委、镇党委及上级公安机关各项工作要求紧密结合，与加快形成和提升新质公安战斗力紧密结合，与推进“社会治安突出问题专项整治8+1”“四大任务清仓见底”“三大攻坚”“</w:t>
      </w:r>
      <w:r>
        <w:rPr>
          <w:rFonts w:hint="eastAsia" w:ascii="仿宋_GB2312" w:hAnsi="仿宋_GB2312" w:eastAsia="仿宋_GB2312" w:cs="仿宋_GB2312"/>
          <w:color w:val="auto"/>
          <w:sz w:val="32"/>
          <w:szCs w:val="32"/>
          <w:lang w:eastAsia="zh-CN"/>
        </w:rPr>
        <w:t>护校安园专项</w:t>
      </w:r>
      <w:r>
        <w:rPr>
          <w:rFonts w:hint="eastAsia" w:ascii="仿宋_GB2312" w:hAnsi="仿宋_GB2312" w:eastAsia="仿宋_GB2312" w:cs="仿宋_GB2312"/>
          <w:b w:val="0"/>
          <w:bCs w:val="0"/>
          <w:color w:val="auto"/>
          <w:sz w:val="32"/>
          <w:szCs w:val="32"/>
          <w:lang w:eastAsia="zh-CN"/>
        </w:rPr>
        <w:t>行动</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”等重点难点工作紧密结合，着力补短板、强弱项、扬优势，切实防风险、保安全、护稳定，有力推动横栏公安工作创新发展，锻造“四个铁一般”公安队伍。</w:t>
      </w:r>
    </w:p>
    <w:p w14:paraId="616DDC85">
      <w:pPr>
        <w:keepLines w:val="0"/>
        <w:pageBreakBefore w:val="0"/>
        <w:numPr>
          <w:ilvl w:val="0"/>
          <w:numId w:val="0"/>
        </w:numPr>
        <w:kinsoku/>
        <w:wordWrap/>
        <w:overflowPunct/>
        <w:topLinePunct w:val="0"/>
        <w:bidi w:val="0"/>
        <w:spacing w:line="60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楷体" w:hAnsi="楷体" w:eastAsia="楷体" w:cs="楷体"/>
          <w:b w:val="0"/>
          <w:bCs w:val="0"/>
          <w:i w:val="0"/>
          <w:caps w:val="0"/>
          <w:color w:val="auto"/>
          <w:spacing w:val="0"/>
          <w:kern w:val="0"/>
          <w:sz w:val="32"/>
          <w:szCs w:val="32"/>
          <w:shd w:val="clear" w:color="auto" w:fill="auto"/>
          <w:lang w:val="en-US" w:eastAsia="zh-CN"/>
        </w:rPr>
        <w:t>（三）周密安排部署巡察整改工作，全力做好巡察“后半篇文章”。</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制定</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整</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改方案，明确整改责任分工、原因分析、整改措施及整改时限，对每项整改问题按照“责任领导、责任部门、责任人”的分工模式推进落实，确保整改工作不留盲区、不留死角。在整改过程中，针对管理中的薄弱环节，深入分析，不断完善、不断补充，有效建立起解决问题和推动发展的长效机制。集中整改期间，新增或修订完善各类制度、方案共17项。在落实整改上，坚持“当下改”和“长久立”相结合，把巡察整改与分局中心工作相融合，在补短板、强弱项上持续发力，加强巡察整改和成果运用。在抓好整改的同时，深刻反思、找准症结，坚持标本兼治、纠建并举，推动整改落实常态化、制度化，以新气象、新作为推动横栏公安高质量发展取得新成效。</w:t>
      </w:r>
    </w:p>
    <w:p w14:paraId="347C19BB">
      <w:pPr>
        <w:keepLines w:val="0"/>
        <w:pageBreakBefore w:val="0"/>
        <w:numPr>
          <w:ilvl w:val="0"/>
          <w:numId w:val="1"/>
        </w:numPr>
        <w:kinsoku/>
        <w:wordWrap/>
        <w:overflowPunct/>
        <w:topLinePunct w:val="0"/>
        <w:bidi w:val="0"/>
        <w:spacing w:line="600" w:lineRule="exact"/>
        <w:ind w:left="0" w:leftChars="0" w:right="0" w:firstLine="640" w:firstLineChars="200"/>
        <w:jc w:val="both"/>
        <w:textAlignment w:val="auto"/>
        <w:rPr>
          <w:rFonts w:hint="eastAsia" w:ascii="黑体" w:hAnsi="宋体" w:eastAsia="黑体" w:cs="黑体"/>
          <w:b w:val="0"/>
          <w:bCs w:val="0"/>
          <w:i w:val="0"/>
          <w:caps w:val="0"/>
          <w:color w:val="auto"/>
          <w:spacing w:val="0"/>
          <w:kern w:val="0"/>
          <w:sz w:val="32"/>
          <w:szCs w:val="32"/>
          <w:shd w:val="clear" w:color="auto" w:fill="auto"/>
          <w:lang w:val="en-US" w:eastAsia="zh-CN"/>
        </w:rPr>
      </w:pPr>
      <w:r>
        <w:rPr>
          <w:rFonts w:hint="eastAsia" w:ascii="黑体" w:hAnsi="宋体" w:eastAsia="黑体" w:cs="黑体"/>
          <w:b w:val="0"/>
          <w:bCs w:val="0"/>
          <w:i w:val="0"/>
          <w:caps w:val="0"/>
          <w:color w:val="auto"/>
          <w:spacing w:val="0"/>
          <w:kern w:val="0"/>
          <w:sz w:val="32"/>
          <w:szCs w:val="32"/>
          <w:shd w:val="clear" w:color="auto" w:fill="auto"/>
          <w:lang w:val="en-US" w:eastAsia="zh-CN"/>
        </w:rPr>
        <w:t>巡察反馈重点问题整改落实情况</w:t>
      </w:r>
    </w:p>
    <w:p w14:paraId="71D5EDDE">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auto"/>
          <w:kern w:val="0"/>
          <w:sz w:val="32"/>
          <w:szCs w:val="32"/>
          <w:shd w:val="clear" w:color="auto" w:fill="auto"/>
          <w:lang w:val="en-US" w:eastAsia="zh-CN"/>
        </w:rPr>
      </w:pPr>
      <w:r>
        <w:rPr>
          <w:rFonts w:hint="eastAsia" w:ascii="仿宋_GB2312" w:hAnsi="仿宋_GB2312" w:eastAsia="仿宋_GB2312" w:cs="仿宋_GB2312"/>
          <w:color w:val="auto"/>
          <w:kern w:val="0"/>
          <w:sz w:val="32"/>
          <w:szCs w:val="32"/>
          <w:shd w:val="clear" w:color="auto" w:fill="auto"/>
          <w:lang w:val="en-US" w:eastAsia="zh-CN"/>
        </w:rPr>
        <w:t>自巡察整改以来，横栏分局党委不断增强“四个意识”、坚定“四个自信”、做到“两个维护”，把抓好巡察整改工作作为重要政治任务，针对巡察反馈问题，突出重点，举一反三，真改实改，坚持把公安工作放在党和人民事业全局中统筹谋划，找准切入点、着力点、结合点，以更高标准、更实举措抓好防风险、保安全、护稳定、促发展各项工作，努力使人民群众安全感更加充实、更有保障、更可持续。</w:t>
      </w:r>
    </w:p>
    <w:p w14:paraId="4C0CEEDD">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（一）聚焦贯彻落实习近平新时代中国特色社会主义思想，推动公安工作高质量发展方面</w:t>
      </w:r>
    </w:p>
    <w:p w14:paraId="68245DD9">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default" w:ascii="仿宋_GB2312" w:hAnsi="仿宋_GB2312" w:eastAsia="仿宋_GB2312" w:cs="仿宋_GB2312"/>
          <w:b/>
          <w:bCs/>
          <w:i w:val="0"/>
          <w:caps w:val="0"/>
          <w:color w:val="auto"/>
          <w:spacing w:val="0"/>
          <w:kern w:val="0"/>
          <w:sz w:val="32"/>
          <w:szCs w:val="32"/>
          <w:shd w:val="clear" w:color="auto" w:fill="auto"/>
          <w:lang w:val="en-US" w:eastAsia="zh-CN"/>
        </w:rPr>
        <w:t>1.</w:t>
      </w:r>
      <w:r>
        <w:rPr>
          <w:rFonts w:hint="eastAsia" w:eastAsia="仿宋_GB2312" w:cs="Calibri"/>
          <w:b/>
          <w:bCs/>
          <w:i w:val="0"/>
          <w:caps w:val="0"/>
          <w:color w:val="auto"/>
          <w:spacing w:val="0"/>
          <w:kern w:val="0"/>
          <w:sz w:val="32"/>
          <w:szCs w:val="32"/>
          <w:shd w:val="clear" w:color="auto" w:fill="auto"/>
          <w:lang w:val="en-US" w:eastAsia="zh-CN"/>
        </w:rPr>
        <w:t>深化细化</w:t>
      </w:r>
      <w:r>
        <w:rPr>
          <w:rFonts w:hint="eastAsia" w:ascii="Calibri" w:hAnsi="Calibri" w:eastAsia="仿宋_GB2312" w:cs="Calibri"/>
          <w:b/>
          <w:bCs/>
          <w:i w:val="0"/>
          <w:caps w:val="0"/>
          <w:color w:val="auto"/>
          <w:spacing w:val="0"/>
          <w:kern w:val="0"/>
          <w:sz w:val="32"/>
          <w:szCs w:val="32"/>
          <w:shd w:val="clear" w:color="auto" w:fill="auto"/>
          <w:lang w:val="en-US" w:eastAsia="zh-CN"/>
        </w:rPr>
        <w:t>“百千万工程”谋划，</w:t>
      </w:r>
      <w:r>
        <w:rPr>
          <w:rFonts w:hint="eastAsia" w:eastAsia="仿宋_GB2312" w:cs="Calibri"/>
          <w:b/>
          <w:bCs/>
          <w:i w:val="0"/>
          <w:caps w:val="0"/>
          <w:color w:val="auto"/>
          <w:spacing w:val="0"/>
          <w:kern w:val="0"/>
          <w:sz w:val="32"/>
          <w:szCs w:val="32"/>
          <w:shd w:val="clear" w:color="auto" w:fill="auto"/>
          <w:lang w:val="en-US" w:eastAsia="zh-CN"/>
        </w:rPr>
        <w:t>全力</w:t>
      </w:r>
      <w:r>
        <w:rPr>
          <w:rFonts w:hint="eastAsia" w:ascii="Calibri" w:hAnsi="Calibri" w:eastAsia="仿宋_GB2312" w:cs="Calibri"/>
          <w:b/>
          <w:bCs/>
          <w:i w:val="0"/>
          <w:caps w:val="0"/>
          <w:color w:val="auto"/>
          <w:spacing w:val="0"/>
          <w:kern w:val="0"/>
          <w:sz w:val="32"/>
          <w:szCs w:val="32"/>
          <w:shd w:val="clear" w:color="auto" w:fill="auto"/>
          <w:lang w:val="en-US" w:eastAsia="zh-CN"/>
        </w:rPr>
        <w:t>保障社会安定、人民安宁</w:t>
      </w:r>
    </w:p>
    <w:p w14:paraId="763DFEDE">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1）以深化“百千万工程”为主线，构建“屯警街面+群防群治+精准打击”治安防控体系，优化巡防机制，推行重点区域常设常驻“动中备”力量强化“三见”工作，持续深化平安建设“九个一”推动企事业单位完成安防设施升级及最小应急单元建设，组建义警及家长志愿者队伍参与巡逻防控和“护学岗”，针对五类高发警情建立专班强化民生案件效能，进一步扎实基础防范工作</w:t>
      </w:r>
    </w:p>
    <w:p w14:paraId="25A5E3F6">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分局党委召开专题研究会，并结合横栏实际情况，转变工作重心，充分发挥“派出所主防”职能，屯警街面，进一步压实路面巡防警力，减少路面警情发案，每天在多个重点部位设置动中备力量以驻点及周边巡逻的方式开展路面巡控工作，由原等级勤务“动中备”力量转变为常设常驻“动中备”力量，进一步提升路面巡防力度，做好“三见”工作。</w:t>
      </w:r>
    </w:p>
    <w:p w14:paraId="2ED46CC8">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对已建设完成的“九个一”项目的309家企业、商超、学校等单位开展一轮督导检查工作，对表对标落实创建工作，进一步推动各企业、商超、学校等单位的最小应急单元建设、安防设施增设改良等工作体质增效，堵塞安防管理短板漏洞。</w:t>
      </w:r>
    </w:p>
    <w:p w14:paraId="0C2490BE">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加强义警、志愿者力量等群防群治队伍的建设使用，2024年9月以来，结合夏季治安打击整治行动，不定期征募义警队伍，配齐装备，与民警一同参与辖区重点商圈的巡逻防控工作，累计共开展行动15次。同时加强与镇教体、学校的沟通联系，发动更多家长志愿者参与到校园高峰期“护学岗”中来，目前，家长志愿者队伍已新增120余名。</w:t>
      </w:r>
    </w:p>
    <w:p w14:paraId="311EB1B8">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四是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抽调刑侦大队1名中队长与多名警力，进一步做强“打击专班”，紧盯每日涉盗抢骗、打架斗殴等涉民生案件，加强情指联动，进一步强化了打击关联效能，目前，分局五类案件警情与打击关联比已稳步提升。</w:t>
      </w:r>
    </w:p>
    <w:p w14:paraId="1B519514">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2.全力整治交通安全隐患</w:t>
      </w:r>
    </w:p>
    <w:p w14:paraId="4EBEE1BF">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（2）完善S26高速西江花洲出口交通信号设施，优化出口至涌横路斜坡路段安全设计，增设涌横路夜间照明系统，举一反三开展道路安全隐患排查整治，全面提升镇内交通安全保障能力</w:t>
      </w:r>
    </w:p>
    <w:p w14:paraId="3CB57D0D">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在西江花洲出口与涌横路交汇路口处完善交通信号灯，在西江花洲收费站至出口路段完善减速线、导流牌等交通标线，该措施能够有效提醒驾驶者减速慢行，并正确引导车辆行驶方向，进一步提升了行车安全。</w:t>
      </w:r>
    </w:p>
    <w:p w14:paraId="72F023BF">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推动镇相关部门投入资金在横东村至涌横路（总长约1240米）设置45盏路灯，该项目已完成建设，大大改善了涌横路夜间照明状况，为行人及驾驶员提供更加明亮、安全的通行环境。</w:t>
      </w:r>
    </w:p>
    <w:p w14:paraId="5BDAB66C">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举一反三建立交通风险隐患排查机制，截至2025年3月，已排查镇内灯光照明不足点10处，已通过加装、更换灯具等方式完成整改；排查缺少货车右转必停设施路口8处，已通过加装标识强制性要求大型车辆在转弯前必须停车观察的方式完成整改；排查公交站点交通隐患35处，已通过对站台设施维护更新、增加防护栏杆等方式完成整改；建设26处摩电等候区；治理古神公路小路口隐患129处。</w:t>
      </w:r>
    </w:p>
    <w:p w14:paraId="489EA0D4">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（3）通过开展常态化车流量检测、动态疏导、优化交通信号灯配时、整治违停车辆及推动庆丰路规划改造工程等方式保障庆丰路西海大桥至中江高速横栏出入口路段畅通有序</w:t>
      </w:r>
    </w:p>
    <w:p w14:paraId="228D5A3D">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建立车流量监测机制，由交警大队指挥室常态化通过制高点监控对庆丰路交通状况进行巡查，一旦发现交通拥堵情况，迅速指派附近警力前往现场疏导交通。</w:t>
      </w:r>
    </w:p>
    <w:p w14:paraId="76E0A8FF">
      <w:pPr>
        <w:keepNext w:val="0"/>
        <w:keepLines w:val="0"/>
        <w:pageBreakBefore w:val="0"/>
        <w:widowControl/>
        <w:numPr>
          <w:ilvl w:val="-1"/>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针对庆丰路乱停乱放问题进行勤务警力倾斜，安排铁骑队员常态化加强庆丰路及周边路段巡逻管控，加大违停整治力度和交通疏导，同时针对车流量对各路口交通信号灯的配时进行优化。</w:t>
      </w:r>
    </w:p>
    <w:p w14:paraId="31413CF8">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推动镇相关部门将庆丰路改造工程纳入西海大桥扩建工程同步考虑，未来庆丰路将得到更全面、系统化的升级改进，包括但不限于路面拓宽、优化交叉口设计等措施。</w:t>
      </w:r>
    </w:p>
    <w:p w14:paraId="71B53CCC">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四是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举一反三建立交通风险隐患排查机制，排查发现类似问题6处并已完成整治。</w:t>
      </w:r>
    </w:p>
    <w:p w14:paraId="7A2E9F1D">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（4）整治岐江公路穗丰路口左转路段安全风险隐患</w:t>
      </w:r>
    </w:p>
    <w:p w14:paraId="33D3C8E5">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分局党委班子成员经对穗丰路口进行调研排查，已制定针对性整改方案，正在施工推进对穗丰路口的交通信号灯及交通标志标线进行升级改造，将穗丰路口左右侧原右转车道改造为左转右转车道；将最左侧原左转车道改造为直行车道，将路口交通信号灯设备进行升级。</w:t>
      </w:r>
    </w:p>
    <w:p w14:paraId="3F7FBD21">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举一反三建立道路交通安全风险隐患排查机制，共排查出65处临水临崖隐患路段进行整治，目前已经全部完成，消除了潜在的安全威胁，进一步保障了过往行人和车辆的安全。</w:t>
      </w:r>
    </w:p>
    <w:p w14:paraId="56CAB408">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5）建立“三维联动”机制提升“一盔一带”安全守护行动成效，通过设置劝导岗发动村居劝导员和志愿者参与佩戴头盔劝导和宣传、深化“警企校社”宣传矩阵开展头盔安全普法行动及实施重点路口定点执法+路段流动巡查等方式构建“查宣治”闭环长效机制</w:t>
      </w:r>
    </w:p>
    <w:p w14:paraId="49B3AC8A">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组织人员每天在人口密集区域设点进行佩戴头盔的劝导和宣传工作。截至2025年3月，组织交警部门统筹辖区11个村（社区）33名劝导员在辖区主干道开展交通劝导工作2629场次，教育不戴头盔摩电驾乘人员30342人次；组织村（社区）工作人员开展美丽乡村行交通安全宣传活动2场，活动受教育人数2300余人。</w:t>
      </w:r>
    </w:p>
    <w:p w14:paraId="36FEE1E2">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每月定期到企事业单位进行交通安全宣传教育，到中小学、幼儿园开展“小手牵大手”交通安全宣传。截至2025年3月，分局组织警力到企业宣讲6场次、到学校开展宣传12次。</w:t>
      </w:r>
    </w:p>
    <w:p w14:paraId="0DA9F539">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对不按规定佩戴头盔的违法行为加大查处力度，目前横栏镇头盔佩戴率已进一步提升，分局将常态化执行相关治理措施，力争头盔佩戴率继续提升，维护群众出行安全。</w:t>
      </w:r>
    </w:p>
    <w:p w14:paraId="089607BF">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6）强化市场周边路段违停整治、增设机非隔离设施，在乐丰四路周边路段科学实施限时交通管制，同步推进村居周边路段停车位建设，以全面规范贴边市场、三沙市场、乐丰四路及周边路段等区域通行秩序，提升停车供给效能</w:t>
      </w:r>
    </w:p>
    <w:p w14:paraId="4CB3A6AE">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加大警力投入对全镇市场周边路段乱停乱放行为进行整治，目前市场周边路段车辆随意停放现象显著减少，后续将常态化整治。</w:t>
      </w:r>
    </w:p>
    <w:p w14:paraId="7E89EE16">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推动11条村居完善周边路段停车位，目前已完成建设停车位约700个，提高了行人和其他合法停车者的满意度。</w:t>
      </w:r>
    </w:p>
    <w:p w14:paraId="55094D63">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自2024年8月26日开始已对乐丰四路周边路段进行限时交通管制，从17时至24时对乐丰四路、益辉四路禁止车辆通行，从而减轻高峰时段的交通压力，并提高整体行车速度。</w:t>
      </w:r>
    </w:p>
    <w:p w14:paraId="4DC7FFD0">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四是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在5个路段建设增设机非隔离设施，有效分离了不同类型的交通工具流线，降低了交通事故发生的概率，同时保障了骑车人和行人的安全。</w:t>
      </w:r>
    </w:p>
    <w:p w14:paraId="0F9A4C4D">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3</w:t>
      </w:r>
      <w:r>
        <w:rPr>
          <w:rFonts w:hint="default" w:ascii="仿宋_GB2312" w:hAnsi="仿宋_GB2312" w:eastAsia="仿宋_GB2312" w:cs="仿宋_GB2312"/>
          <w:b/>
          <w:bCs/>
          <w:i w:val="0"/>
          <w:caps w:val="0"/>
          <w:color w:val="auto"/>
          <w:spacing w:val="0"/>
          <w:kern w:val="0"/>
          <w:sz w:val="32"/>
          <w:szCs w:val="32"/>
          <w:shd w:val="clear" w:color="auto" w:fill="auto"/>
          <w:lang w:val="en-US" w:eastAsia="zh-CN"/>
        </w:rPr>
        <w:t>.</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深刻认识意识形态工作极端重要性，“一把手”带头落实第一责任人责任</w:t>
      </w:r>
    </w:p>
    <w:p w14:paraId="62B606CE">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（7）健全完善专项工作方案，将落实意识形态工作责任制情况纳入分局党委班子成员年度述职报告，执行党委会定期专题研判机制，坚定不移做好新时代意识形态工作</w:t>
      </w:r>
    </w:p>
    <w:p w14:paraId="79ED46B1">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完善下发专项工作实施方案，督促各级严格落实意识形态工作责任制，将落实意识形态工作责任制情况纳入分局党委领导班子成员年度述职报告。</w:t>
      </w:r>
    </w:p>
    <w:p w14:paraId="2423F5AD">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分局党委召开意识形态工作专题研究会，分析当前意识形态工作面临的形势任务，对相关案件（事件）开展复盘分析，并就进一步落实意识形态工作责任制、防范意识形态领域风险隐患等工作作出具体部署。</w:t>
      </w:r>
    </w:p>
    <w:p w14:paraId="611067B6">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组织开展好宣传各项工作，目前，分局联合镇相关部门深入学校、村居、厂企、商店等开展专题宣讲活动21场次，发放宣传单2370张，张贴宣传海报232张，利用LED电子屏滚动播放宣传标语30条。</w:t>
      </w:r>
    </w:p>
    <w:p w14:paraId="24E63F2E">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default"/>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4.强化教育培训、审核把关，提升公安提示函质量</w:t>
      </w:r>
    </w:p>
    <w:p w14:paraId="3444C678">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（8）举一反三开展全面排查，多措并举提升公安提示函制作规范水平，进一步确保公安提示函发送对象精准、建议内容合规</w:t>
      </w:r>
    </w:p>
    <w:p w14:paraId="4FFFAE2A">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对相关责任民警进行了提醒</w:t>
      </w:r>
      <w:r>
        <w:rPr>
          <w:rFonts w:hint="eastAsia" w:ascii="仿宋_GB2312" w:hAnsi="仿宋_GB2312" w:eastAsia="仿宋_GB2312" w:cs="仿宋_GB2312"/>
          <w:b w:val="0"/>
          <w:bCs w:val="0"/>
          <w:i w:val="0"/>
          <w:caps w:val="0"/>
          <w:color w:val="auto"/>
          <w:spacing w:val="0"/>
          <w:kern w:val="0"/>
          <w:sz w:val="32"/>
          <w:szCs w:val="32"/>
          <w:u w:val="none"/>
          <w:shd w:val="clear" w:color="auto" w:fill="auto"/>
          <w:lang w:val="en-US" w:eastAsia="zh-CN"/>
        </w:rPr>
        <w:t>谈话，要求其</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明悉相关职能部门责任范围，确保公安提示函发送对象和建议内容准确；要求其加强文字写作能力训练，进一步规范文字表述，增强公安提示函严肃性。</w:t>
      </w:r>
    </w:p>
    <w:p w14:paraId="41BF28E2">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对2021年以来发布的26份公文进行梳理排查，以上级关于公文处理的有关规定文件标准对文稿文件文书实行“交叉审核”“环环把关”,暂未发现存在问题。</w:t>
      </w:r>
    </w:p>
    <w:p w14:paraId="6D0AA571">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组织民辅警学习上级关于公文处理的有关规定文件，日常制发公安提示函严格按照“三审三校”工作制度进行审核报批，确保公文零失误、零差错。</w:t>
      </w:r>
    </w:p>
    <w:p w14:paraId="22ABE6EC">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四是</w:t>
      </w:r>
      <w:r>
        <w:rPr>
          <w:rFonts w:hint="eastAsia" w:ascii="仿宋_GB2312" w:hAnsi="仿宋_GB2312" w:eastAsia="仿宋_GB2312" w:cs="仿宋_GB2312"/>
          <w:color w:val="auto"/>
          <w:kern w:val="0"/>
          <w:sz w:val="32"/>
          <w:szCs w:val="32"/>
        </w:rPr>
        <w:t>举行公文写作专题培训</w:t>
      </w:r>
      <w:r>
        <w:rPr>
          <w:rFonts w:hint="eastAsia" w:ascii="仿宋_GB2312" w:hAnsi="仿宋_GB2312" w:eastAsia="仿宋_GB2312" w:cs="仿宋_GB2312"/>
          <w:color w:val="auto"/>
          <w:kern w:val="0"/>
          <w:sz w:val="32"/>
          <w:szCs w:val="32"/>
          <w:lang w:eastAsia="zh-CN"/>
        </w:rPr>
        <w:t>班两</w:t>
      </w:r>
      <w:r>
        <w:rPr>
          <w:rFonts w:hint="eastAsia" w:ascii="仿宋_GB2312" w:hAnsi="仿宋_GB2312" w:eastAsia="仿宋_GB2312" w:cs="仿宋_GB2312"/>
          <w:color w:val="auto"/>
          <w:kern w:val="0"/>
          <w:sz w:val="32"/>
          <w:szCs w:val="32"/>
          <w:lang w:val="en-US" w:eastAsia="zh-CN"/>
        </w:rPr>
        <w:t>期</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组织民辅警学习了</w:t>
      </w:r>
      <w:r>
        <w:rPr>
          <w:rFonts w:hint="eastAsia" w:ascii="仿宋_GB2312" w:hAnsi="仿宋_GB2312" w:eastAsia="仿宋_GB2312" w:cs="仿宋_GB2312"/>
          <w:color w:val="auto"/>
          <w:kern w:val="0"/>
          <w:sz w:val="32"/>
          <w:szCs w:val="32"/>
        </w:rPr>
        <w:t>《党政机关公文格式》《公安机关反有组织犯罪工作规定》及</w:t>
      </w:r>
      <w:r>
        <w:rPr>
          <w:rFonts w:hint="eastAsia" w:ascii="仿宋_GB2312" w:hAnsi="仿宋_GB2312" w:eastAsia="仿宋_GB2312" w:cs="仿宋_GB2312"/>
          <w:color w:val="auto"/>
          <w:kern w:val="0"/>
          <w:sz w:val="32"/>
          <w:szCs w:val="32"/>
          <w:lang w:eastAsia="zh-CN"/>
        </w:rPr>
        <w:t>上级关于</w:t>
      </w:r>
      <w:r>
        <w:rPr>
          <w:rFonts w:hint="eastAsia" w:ascii="仿宋_GB2312" w:hAnsi="仿宋_GB2312" w:eastAsia="仿宋_GB2312" w:cs="仿宋_GB2312"/>
          <w:color w:val="auto"/>
          <w:kern w:val="0"/>
          <w:sz w:val="32"/>
          <w:szCs w:val="32"/>
        </w:rPr>
        <w:t>公安提示函</w:t>
      </w:r>
      <w:r>
        <w:rPr>
          <w:rFonts w:hint="eastAsia" w:ascii="仿宋_GB2312" w:hAnsi="仿宋_GB2312" w:eastAsia="仿宋_GB2312" w:cs="仿宋_GB2312"/>
          <w:color w:val="auto"/>
          <w:kern w:val="0"/>
          <w:sz w:val="32"/>
          <w:szCs w:val="32"/>
          <w:lang w:eastAsia="zh-CN"/>
        </w:rPr>
        <w:t>规范的有关文件</w:t>
      </w:r>
      <w:r>
        <w:rPr>
          <w:rFonts w:hint="eastAsia" w:ascii="仿宋_GB2312" w:hAnsi="仿宋_GB2312" w:eastAsia="仿宋_GB2312" w:cs="仿宋_GB2312"/>
          <w:color w:val="auto"/>
          <w:kern w:val="0"/>
          <w:sz w:val="32"/>
          <w:szCs w:val="32"/>
        </w:rPr>
        <w:t>，同时制定常用公文模板和写作指南，覆盖通知、通报、通告、请示等高频文种，确保文书严肃性。</w:t>
      </w:r>
    </w:p>
    <w:p w14:paraId="53A475D3">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五是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将相关部门复函中所述及“加强镇内道路路检路查和监督管理、加强营运货运车辆的停放”的情况及时通传交警，要求交警部门对辖区内货运车辆乱停乱放现象加强整治，维护好全镇交通秩序。交警部门针对辖区货运车辆违停重点路段加强巡逻管控和整治，有效遏制了货运车辆乱停乱放的行为，提升了整体交通秩序。</w:t>
      </w:r>
    </w:p>
    <w:p w14:paraId="1C46A4E5">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5.持续有力推动常态化扫黑除恶斗争</w:t>
      </w:r>
    </w:p>
    <w:p w14:paraId="730A487F">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（9）执行定期研究扫黑除恶斗争工作机制，开展会议记录规范性培训，持续提升规范记录扫黑除恶斗争工作会议的质效</w:t>
      </w:r>
    </w:p>
    <w:p w14:paraId="12EBDCE4">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yellow"/>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召开</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横栏分局扫黑除恶工作会议，传达了部、省、市常态化扫黑除恶斗争会议精神及上级关于常态化扫黑除恶督导工作方案有关文件精神，并就抓好下一阶段扫黑除恶工作强调了工作要求。</w:t>
      </w:r>
    </w:p>
    <w:p w14:paraId="48667EBC">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分两场次组织内勤民辅警共16人次开展公文写作专题培训、会议记录能力素质培训，要求会议记录人员在做会议记录前提前知晓需研究事项内容，明确记录要点、规范记录内容，避免漏记错记。</w:t>
      </w:r>
    </w:p>
    <w:p w14:paraId="13636151">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召开分局党委会议，要求切实提高工作思想认识，组织召开会议记录能力培训“大练兵”活动，提升会议记录人员能力水平，确保会议记录有效性。</w:t>
      </w:r>
    </w:p>
    <w:p w14:paraId="2CCF4C58">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（10）强化动员部署、分级分类谈话、压实工作责任、实体化运作工作专班，持续提高纵深推进扫黑除恶斗争的积极性、主动性</w:t>
      </w:r>
    </w:p>
    <w:p w14:paraId="6C8C5D3E">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分级分类谈话，强化责任担当，由分局领导对扫黑除恶斗争工作小组全体成员进行提醒谈话，由各功能组组长对组员、联络员和内勤开展提醒谈话，进一步提高思想认识，有效压实工作责</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任。</w:t>
      </w:r>
    </w:p>
    <w:p w14:paraId="05DA06E7">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召开横栏分局扫黑除恶工作会议，对扫黑除恶常态化工作再动员再部署，专题研究扫黑除恶工作推进机制，将扫黑除恶常态化列入分局党委重点研究事项。</w:t>
      </w:r>
    </w:p>
    <w:p w14:paraId="2C01885E">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加强组织领导，提升打击涉黑恶犯罪的整体成效，抽调多名精干警力成立重点案件攻坚专班，以巡察整改为契机，积极主动作为，奋力攻坚克难，推动扫黑除恶斗争向纵深发展。</w:t>
      </w:r>
    </w:p>
    <w:p w14:paraId="6425EBDA">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rightChars="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fill="auto"/>
          <w:lang w:val="en-US" w:eastAsia="zh-CN" w:bidi="ar-SA"/>
        </w:rPr>
        <w:t>（11）</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出重拳扫黑除恶</w:t>
      </w:r>
    </w:p>
    <w:p w14:paraId="55F691D8">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抽调多名警力成立重点案件攻坚专班，对全量重点案件“清单式”管理、建立台账并包案到人，压实工作责任。</w:t>
      </w:r>
    </w:p>
    <w:p w14:paraId="35523D82">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组织重点案件攻坚专班警力开展学习《中华人民共和国反有组织犯罪法》等法律法规，进一步加深对法律条文的理解。</w:t>
      </w:r>
    </w:p>
    <w:p w14:paraId="760C7CBC">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对重点案件攻坚专班全体人员开展提醒谈话，要求按工作时限完成攻坚任务，重拳打击黑恶违法犯罪。目前，已对其中多宗案件完成攻坚。</w:t>
      </w:r>
    </w:p>
    <w:p w14:paraId="48418454">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6.强化对住宿服务行业监管</w:t>
      </w:r>
    </w:p>
    <w:p w14:paraId="0100BD82">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（12）抓好出租屋治安、消防等方面风险隐患排查整治</w:t>
      </w:r>
    </w:p>
    <w:p w14:paraId="1644A12F">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snapToGrid/>
          <w:color w:val="auto"/>
          <w:spacing w:val="0"/>
          <w:kern w:val="0"/>
          <w:sz w:val="32"/>
          <w:szCs w:val="32"/>
          <w:shd w:val="clear" w:color="auto" w:fill="auto"/>
          <w:lang w:val="en-US" w:eastAsia="zh-CN" w:bidi="ar-SA"/>
        </w:rPr>
      </w:pP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bidi="ar-SA"/>
        </w:rPr>
        <w:t>一是</w:t>
      </w:r>
      <w:r>
        <w:rPr>
          <w:rFonts w:hint="eastAsia" w:ascii="仿宋_GB2312" w:hAnsi="仿宋_GB2312" w:eastAsia="仿宋_GB2312" w:cs="仿宋_GB2312"/>
          <w:b w:val="0"/>
          <w:bCs w:val="0"/>
          <w:i w:val="0"/>
          <w:caps w:val="0"/>
          <w:snapToGrid/>
          <w:color w:val="auto"/>
          <w:spacing w:val="0"/>
          <w:kern w:val="0"/>
          <w:sz w:val="32"/>
          <w:szCs w:val="32"/>
          <w:shd w:val="clear" w:color="auto" w:fill="auto"/>
          <w:lang w:val="en-US" w:eastAsia="zh-CN" w:bidi="ar-SA"/>
        </w:rPr>
        <w:t>分局联合网格中心、消防等职能部门每周开展出租屋治安、消防安全隐患排查工作，网格中心每日对辖区出租屋进行消防安全检查，同时组织公安、网格及村居对出租屋开展电动车违规入室充电专项整治，对管理不严、劝导不到位的出租屋管理者开具警告单。截至2025年3月，共开展联合排查工作79次，</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排查、整改消防安全隐患79处，设置电动车停车充电区25个，对违规行为依法进行查处。</w:t>
      </w:r>
    </w:p>
    <w:p w14:paraId="33E6F2FC">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snapToGrid/>
          <w:color w:val="auto"/>
          <w:spacing w:val="0"/>
          <w:kern w:val="0"/>
          <w:sz w:val="32"/>
          <w:szCs w:val="32"/>
          <w:shd w:val="clear" w:color="auto" w:fill="auto"/>
          <w:lang w:val="en-US" w:eastAsia="zh-CN" w:bidi="ar-SA"/>
        </w:rPr>
      </w:pP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bidi="ar-SA"/>
        </w:rPr>
        <w:t>二是</w:t>
      </w:r>
      <w:r>
        <w:rPr>
          <w:rFonts w:hint="eastAsia" w:ascii="仿宋_GB2312" w:hAnsi="仿宋_GB2312" w:eastAsia="仿宋_GB2312" w:cs="仿宋_GB2312"/>
          <w:b w:val="0"/>
          <w:bCs w:val="0"/>
          <w:i w:val="0"/>
          <w:caps w:val="0"/>
          <w:snapToGrid/>
          <w:color w:val="auto"/>
          <w:spacing w:val="0"/>
          <w:kern w:val="0"/>
          <w:sz w:val="32"/>
          <w:szCs w:val="32"/>
          <w:shd w:val="clear" w:color="auto" w:fill="auto"/>
          <w:lang w:val="en-US" w:eastAsia="zh-CN" w:bidi="ar-SA"/>
        </w:rPr>
        <w:t>更换上墙“警民联系卡”，出租屋分级分色公示牌。目前，已重新制作10万张联系卡、200张公示牌并已全部更换张贴完毕。</w:t>
      </w:r>
    </w:p>
    <w:p w14:paraId="7E4CDABE">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13）构建监管体系，通过对违规出租屋实施“回头看”，每日巡查出租屋实名登记情况，月度社区工作会通报整改安全隐患形成闭环管理等方式，进一步压实出租屋屋主主体责任，加强督促落实出租屋粤居码应用实名登记等工作</w:t>
      </w:r>
    </w:p>
    <w:p w14:paraId="005BDC16">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重点对因违规而被查处的出租屋开展“回头看”、重点清查整治等行动。</w:t>
      </w:r>
    </w:p>
    <w:p w14:paraId="1A6F0276">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组织人员每日对出租屋进行巡查抽检，检查入住人员信息如实登记情况，并对不按规定登记行为依法进行查处。</w:t>
      </w:r>
    </w:p>
    <w:p w14:paraId="380E51B8">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更新工作要求宣传警示海报，结合日常检查开展出租屋管理员应知应会问答。目前已印制警示海报3000份，辖区张贴覆盖率100%。</w:t>
      </w:r>
    </w:p>
    <w:p w14:paraId="105E8E29">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四是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每月召开社区工作会议，通报问题不足，提出整改措施，目前，通过每月社区工作会议通报问题隐患共45项，并经复核、考核确认完成整改45项。</w:t>
      </w:r>
    </w:p>
    <w:p w14:paraId="24BF2A46">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（14）构建矛盾纠纷“多元联动+分流定级+动态回访”全链条化解体系，成立镇级专班制定分流专班机制，建立“低风险110回访、中高风险多部门多频次跟踪”机制，推动涉出租屋矛盾纠纷等源头治理提质增效</w:t>
      </w:r>
    </w:p>
    <w:p w14:paraId="449D73C8">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联合镇相关部门召开碰头会议，推动出台关于家庭矛盾纠纷联动化解、劳资纠纷联动化解、矛盾纠纷联动化解等系列工作方案，并推动镇相关部门制定出台关于矛盾纠纷排查处置工作制度方案，进一步规范矛盾纠纷排查处置工作。</w:t>
      </w:r>
    </w:p>
    <w:p w14:paraId="6D80E496">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制定家庭矛盾、劳资纠纷等矛盾纠纷排查化解分流定级、反馈闭环机制。组织情指中心、治安部门联合镇相关部门成立矛盾纠纷排查化解专班，对现有矛盾纠纷警情进行分析定级，及时流转进行核查、调处化解，动态掌握相关工作开展情况。目前，矛盾纠纷排查化解专班将未能现场化解的多起警情进行风险等级评估后流转到各职能部门跟进处置，经各职能部门调处后，均已成功化解或取得阶段性成果。</w:t>
      </w:r>
    </w:p>
    <w:p w14:paraId="15750A87">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建立回访工作机制。低风险矛盾纠纷警情由分局110定期回访、销号，中风险以上由各职能部门跟进化解，并于化解后3天、7天、半个月等时间段，视具体情况进行回访，掌握新动态。截至2025年3月，2次回访警情并在2次回访后均取得闭环化解，3次及以上多次回访警情按照要求及时跟进落实。</w:t>
      </w:r>
    </w:p>
    <w:p w14:paraId="10DD4C3C">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7.落实精神障碍患者管控</w:t>
      </w:r>
    </w:p>
    <w:p w14:paraId="54FE7D05">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15）构建精神障碍患者“建档抽检+动态走访+三方评估”全周期管控机制，落实档案规范建档抽检达标，执行每周动态走访，深化村居、精防医生月度三方评估，实现重点人员“底数清、状态明、管控实”闭环管理</w:t>
      </w:r>
    </w:p>
    <w:p w14:paraId="332994C6">
      <w:pPr>
        <w:keepNext w:val="0"/>
        <w:keepLines w:val="0"/>
        <w:pageBreakBefore w:val="0"/>
        <w:widowControl w:val="0"/>
        <w:numPr>
          <w:ilvl w:val="0"/>
          <w:numId w:val="0"/>
        </w:numPr>
        <w:tabs>
          <w:tab w:val="left" w:pos="840"/>
          <w:tab w:val="left" w:pos="3151"/>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督促派出所完善重点人员档案，2024年10月中旬，组织治安部门对上述资料进行全面检查，暂未发现其他问题。</w:t>
      </w:r>
    </w:p>
    <w:p w14:paraId="7477173A">
      <w:pPr>
        <w:keepNext w:val="0"/>
        <w:keepLines w:val="0"/>
        <w:pageBreakBefore w:val="0"/>
        <w:widowControl w:val="0"/>
        <w:numPr>
          <w:ilvl w:val="0"/>
          <w:numId w:val="0"/>
        </w:numPr>
        <w:tabs>
          <w:tab w:val="left" w:pos="840"/>
          <w:tab w:val="left" w:pos="3151"/>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落实每周对重点人员走访工作，共开展走访28次，暂未发现异常情况。</w:t>
      </w:r>
    </w:p>
    <w:p w14:paraId="5A47C105">
      <w:pPr>
        <w:keepNext w:val="0"/>
        <w:keepLines w:val="0"/>
        <w:pageBreakBefore w:val="0"/>
        <w:widowControl w:val="0"/>
        <w:numPr>
          <w:ilvl w:val="0"/>
          <w:numId w:val="0"/>
        </w:numPr>
        <w:tabs>
          <w:tab w:val="left" w:pos="840"/>
          <w:tab w:val="left" w:pos="3151"/>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落实每月与村居、精防医生评估工作，截至2025年3月，已通知集中走访9次，均稳定在控。</w:t>
      </w:r>
    </w:p>
    <w:p w14:paraId="740C5608">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8.落实落细校园安全保卫监管工作，全面排查整治校园安全风险隐患</w:t>
      </w:r>
    </w:p>
    <w:p w14:paraId="1094EC29">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16）构建校园安全“三轮排查+警校家联防+部门联动”立体防护体系，开展暑期三轮隐患整治，落实应急培训和“护学岗”常态值守，联动多部门完成12校交通管制布控、31校监控存储达90天并完善一键报警台账，实现“风险清零+三防达标+响应提速”平安校园目标</w:t>
      </w:r>
    </w:p>
    <w:p w14:paraId="096D1DAF">
      <w:pPr>
        <w:keepNext w:val="0"/>
        <w:keepLines w:val="0"/>
        <w:pageBreakBefore w:val="0"/>
        <w:widowControl w:val="0"/>
        <w:numPr>
          <w:ilvl w:val="0"/>
          <w:numId w:val="0"/>
        </w:numPr>
        <w:tabs>
          <w:tab w:val="left" w:pos="840"/>
          <w:tab w:val="left" w:pos="3151"/>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在2024年暑假期间对全镇学校开展三轮安全隐患排查，并督促各学校在开学前完成整改，对存在安保人员未佩戴保安员证上岗的两所学校发出限期整改通知书要求及时整改，对缺少义警反光衣的学校，及时购买150余件反光衣并配发到位，对缺少盾棍叉、“八件套”、钢盔、防刺服等安防装备的，均联合教体中心对校方发出整改通知。目前，全镇31间中小学、幼儿园保安在每日开展工作时均有佩戴“八件套”、钢盔、防刺服、盾棍叉等装备上岗。</w:t>
      </w:r>
    </w:p>
    <w:p w14:paraId="4E22DD11">
      <w:pPr>
        <w:keepNext w:val="0"/>
        <w:keepLines w:val="0"/>
        <w:pageBreakBefore w:val="0"/>
        <w:widowControl w:val="0"/>
        <w:numPr>
          <w:ilvl w:val="0"/>
          <w:numId w:val="0"/>
        </w:numPr>
        <w:tabs>
          <w:tab w:val="left" w:pos="840"/>
          <w:tab w:val="left" w:pos="3151"/>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在2024年秋季学期开学前组织社区民警对学校最小应急单元进行培训演练，同步开展安全隐患排查，在学校上课期间，每天安排警力到各学校参加“护学岗”工作，指导学校保安、教职工、家长志愿者等参加“护学岗”工作。</w:t>
      </w:r>
    </w:p>
    <w:p w14:paraId="098BBF4F">
      <w:pPr>
        <w:keepNext w:val="0"/>
        <w:keepLines w:val="0"/>
        <w:pageBreakBefore w:val="0"/>
        <w:widowControl w:val="0"/>
        <w:numPr>
          <w:ilvl w:val="0"/>
          <w:numId w:val="0"/>
        </w:numPr>
        <w:tabs>
          <w:tab w:val="left" w:pos="840"/>
          <w:tab w:val="left" w:pos="3151"/>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联动市政、教体、学校等部门对辖区31间学校进行走访、摸排，已对存在交通隐患的12间学校完成上学、放学时间段的临时交通管制设施的布置，并通过“平安横栏”等公众号对外发布最新的交通引导方案。同时对监控设备不符合要求发出整改通知。</w:t>
      </w:r>
    </w:p>
    <w:p w14:paraId="7E6CAC33">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9.加强保护未成年人</w:t>
      </w:r>
    </w:p>
    <w:p w14:paraId="0D212E79">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（17）联动网格、消防开展出租屋排查，强化旅馆门禁登记、普法宣教，织密“排查整治——源头防控”平安网</w:t>
      </w:r>
    </w:p>
    <w:p w14:paraId="7A368046">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联合网格中心、消防等职能部门开展出租屋治安、消防安全隐患排查工作，共开展排查工作79次，及时发现问题并全部完成整改。</w:t>
      </w:r>
    </w:p>
    <w:p w14:paraId="0D7486DC">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建立完善长效预防监督机制。强化商务住宿楼及公寓楼门禁使用、出入登记管理等方面措施，组织社区民警定期上门对旅馆业、出租屋管理者进行法律宣教工作，以案释法，进一步压实管理者责任。</w:t>
      </w:r>
    </w:p>
    <w:p w14:paraId="13E05CB4">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（18）</w:t>
      </w:r>
      <w:r>
        <w:rPr>
          <w:rStyle w:val="11"/>
          <w:rFonts w:hint="eastAsia" w:ascii="仿宋_GB2312" w:hAnsi="仿宋_GB2312" w:eastAsia="仿宋_GB2312" w:cs="仿宋_GB2312"/>
          <w:b/>
          <w:bCs w:val="0"/>
          <w:i w:val="0"/>
          <w:iCs w:val="0"/>
          <w:caps w:val="0"/>
          <w:color w:val="auto"/>
          <w:spacing w:val="0"/>
          <w:sz w:val="32"/>
          <w:szCs w:val="32"/>
          <w:shd w:val="clear" w:fill="FFFFFF"/>
        </w:rPr>
        <w:t>构建娱乐场所全链条监管体系</w:t>
      </w:r>
      <w:r>
        <w:rPr>
          <w:rStyle w:val="11"/>
          <w:rFonts w:hint="eastAsia" w:ascii="仿宋_GB2312" w:hAnsi="仿宋_GB2312" w:eastAsia="仿宋_GB2312" w:cs="仿宋_GB2312"/>
          <w:b/>
          <w:bCs w:val="0"/>
          <w:i w:val="0"/>
          <w:iCs w:val="0"/>
          <w:caps w:val="0"/>
          <w:color w:val="auto"/>
          <w:spacing w:val="0"/>
          <w:sz w:val="32"/>
          <w:szCs w:val="32"/>
          <w:shd w:val="clear" w:fill="FFFFFF"/>
          <w:lang w:eastAsia="zh-CN"/>
        </w:rPr>
        <w:t>，</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全面排查整治问题隐患</w:t>
      </w:r>
      <w:r>
        <w:rPr>
          <w:rStyle w:val="11"/>
          <w:rFonts w:hint="eastAsia" w:ascii="仿宋_GB2312" w:hAnsi="仿宋_GB2312" w:eastAsia="仿宋_GB2312" w:cs="仿宋_GB2312"/>
          <w:b/>
          <w:bCs w:val="0"/>
          <w:i w:val="0"/>
          <w:iCs w:val="0"/>
          <w:caps w:val="0"/>
          <w:color w:val="auto"/>
          <w:spacing w:val="0"/>
          <w:sz w:val="32"/>
          <w:szCs w:val="32"/>
          <w:shd w:val="clear" w:fill="FFFFFF"/>
        </w:rPr>
        <w:t>，实现</w:t>
      </w:r>
      <w:r>
        <w:rPr>
          <w:rStyle w:val="11"/>
          <w:rFonts w:hint="eastAsia" w:ascii="仿宋_GB2312" w:hAnsi="仿宋_GB2312" w:eastAsia="仿宋_GB2312" w:cs="仿宋_GB2312"/>
          <w:b/>
          <w:bCs w:val="0"/>
          <w:i w:val="0"/>
          <w:iCs w:val="0"/>
          <w:caps w:val="0"/>
          <w:color w:val="auto"/>
          <w:spacing w:val="0"/>
          <w:sz w:val="32"/>
          <w:szCs w:val="32"/>
          <w:shd w:val="clear" w:fill="FFFFFF"/>
          <w:lang w:eastAsia="zh-CN"/>
        </w:rPr>
        <w:t>“</w:t>
      </w:r>
      <w:r>
        <w:rPr>
          <w:rStyle w:val="11"/>
          <w:rFonts w:hint="eastAsia" w:ascii="仿宋_GB2312" w:hAnsi="仿宋_GB2312" w:eastAsia="仿宋_GB2312" w:cs="仿宋_GB2312"/>
          <w:b/>
          <w:bCs w:val="0"/>
          <w:i w:val="0"/>
          <w:iCs w:val="0"/>
          <w:caps w:val="0"/>
          <w:color w:val="auto"/>
          <w:spacing w:val="0"/>
          <w:sz w:val="32"/>
          <w:szCs w:val="32"/>
          <w:shd w:val="clear" w:fill="FFFFFF"/>
        </w:rPr>
        <w:t>风险全管控</w:t>
      </w:r>
      <w:r>
        <w:rPr>
          <w:rStyle w:val="11"/>
          <w:rFonts w:hint="eastAsia" w:ascii="仿宋_GB2312" w:hAnsi="仿宋_GB2312" w:eastAsia="仿宋_GB2312" w:cs="仿宋_GB2312"/>
          <w:b/>
          <w:bCs w:val="0"/>
          <w:i w:val="0"/>
          <w:iCs w:val="0"/>
          <w:caps w:val="0"/>
          <w:color w:val="auto"/>
          <w:spacing w:val="0"/>
          <w:sz w:val="32"/>
          <w:szCs w:val="32"/>
          <w:shd w:val="clear" w:fill="FFFFFF"/>
          <w:lang w:eastAsia="zh-CN"/>
        </w:rPr>
        <w:t>”</w:t>
      </w:r>
      <w:r>
        <w:rPr>
          <w:rStyle w:val="11"/>
          <w:rFonts w:hint="eastAsia" w:ascii="仿宋_GB2312" w:hAnsi="仿宋_GB2312" w:eastAsia="仿宋_GB2312" w:cs="仿宋_GB2312"/>
          <w:b/>
          <w:bCs w:val="0"/>
          <w:i w:val="0"/>
          <w:iCs w:val="0"/>
          <w:caps w:val="0"/>
          <w:color w:val="auto"/>
          <w:spacing w:val="0"/>
          <w:sz w:val="32"/>
          <w:szCs w:val="32"/>
          <w:shd w:val="clear" w:fill="FFFFFF"/>
        </w:rPr>
        <w:t>平安目标</w:t>
      </w:r>
    </w:p>
    <w:p w14:paraId="3546308C">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每月对娱乐场所进行至少1次全面排查整治，发现问题隐患并推动完成整改。</w:t>
      </w:r>
    </w:p>
    <w:p w14:paraId="21E9A920">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加强对娱乐服务场所提供有偿陪侍等违法行为的查处，深挖案件线索，加强对辖区娱乐服务场所的检查力度，发现违法违规线索第一时间依法从严从重进行查处。</w:t>
      </w:r>
    </w:p>
    <w:p w14:paraId="79C211DD">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（19）强化教育管理</w:t>
      </w:r>
    </w:p>
    <w:p w14:paraId="1C2DDA13">
      <w:pPr>
        <w:keepNext w:val="0"/>
        <w:keepLines w:val="0"/>
        <w:pageBreakBefore w:val="0"/>
        <w:widowControl/>
        <w:numPr>
          <w:ilvl w:val="0"/>
          <w:numId w:val="0"/>
        </w:numPr>
        <w:tabs>
          <w:tab w:val="left" w:pos="840"/>
          <w:tab w:val="left" w:pos="3151"/>
        </w:tabs>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一是做好全面摸排工作，优化工作方式方法，全力做好教育管理工作。</w:t>
      </w:r>
    </w:p>
    <w:p w14:paraId="7ED41C33">
      <w:pPr>
        <w:keepNext w:val="0"/>
        <w:keepLines w:val="0"/>
        <w:pageBreakBefore w:val="0"/>
        <w:widowControl/>
        <w:numPr>
          <w:ilvl w:val="0"/>
          <w:numId w:val="0"/>
        </w:numPr>
        <w:tabs>
          <w:tab w:val="left" w:pos="840"/>
          <w:tab w:val="left" w:pos="3151"/>
        </w:tabs>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二是联动镇相关职能部门督促家庭履行好监护职责。</w:t>
      </w:r>
    </w:p>
    <w:p w14:paraId="66524BB8">
      <w:pPr>
        <w:pStyle w:val="3"/>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rPr>
        <w:t>10</w:t>
      </w:r>
      <w:r>
        <w:rPr>
          <w:rFonts w:hint="default" w:ascii="仿宋_GB2312" w:hAnsi="仿宋_GB2312" w:eastAsia="仿宋_GB2312" w:cs="仿宋_GB2312"/>
          <w:b/>
          <w:bCs/>
          <w:i w:val="0"/>
          <w:caps w:val="0"/>
          <w:snapToGrid/>
          <w:color w:val="auto"/>
          <w:spacing w:val="0"/>
          <w:kern w:val="0"/>
          <w:sz w:val="32"/>
          <w:szCs w:val="32"/>
          <w:shd w:val="clear" w:color="auto" w:fill="auto"/>
          <w:lang w:val="en-US" w:eastAsia="zh-CN"/>
        </w:rPr>
        <w:t>.</w:t>
      </w: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rPr>
        <w:t>牢固把握执法办案质量生命线，扎实</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推进执法规范化建设</w:t>
      </w:r>
    </w:p>
    <w:p w14:paraId="4E1F771B">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（20）</w:t>
      </w: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bidi="ar-SA"/>
        </w:rPr>
        <w:t>实施“全链条执法能力提升工程”，组织开展证据收集规范化培训，创新侦查清单模式，制定犯罪形态取证指南及案例会商消除盲区，落实提醒谈话机制压实工作责任，助推“现场保护-取证闭环-责任倒查”规范化执法体系落地，切实提升民警案件办理程序意识、证据意</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识</w:t>
      </w:r>
    </w:p>
    <w:p w14:paraId="0E66965C">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组织办案民警开展执法理论培训，通过集中学习交流、示范执法等教育活动，从证据收集、固定、整理、应用等方面全面教学，提高民警对现场保护、证据提存、规范取证等方面的认知水平和重视程度，强化案发现场保护能力和证据收集能力。</w:t>
      </w:r>
    </w:p>
    <w:p w14:paraId="0F4FB5AE">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探索建立侦查清单模式，消除取证盲区死角。针对存在问题，建立一对一指导和监督机制，一方面，针对不同犯罪行为、犯罪形态制作侦查取证明细清单；另一方面，围绕案件的特殊情形共商共议，消除证据收集的盲区死角，助力案件办理提质增效。</w:t>
      </w:r>
    </w:p>
    <w:p w14:paraId="57EF5D4A">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组织办案部门</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领导对相关责任民警进行了提醒谈话，进一步压实工作责任，提升民警案件办理程序意识、证据意识。</w:t>
      </w:r>
    </w:p>
    <w:p w14:paraId="4313871A">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（21）持续纠治立而不侦、久侦不结问题，</w:t>
      </w: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bidi="ar-SA"/>
        </w:rPr>
        <w:t>健全月度抽检通报机制促结案撤案动态清零，落实提醒谈话压实办案责任，推动办案民警</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及时侦查办结案件</w:t>
      </w:r>
    </w:p>
    <w:p w14:paraId="76260B5E">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yellow"/>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对案件进行全面梳理、排查，每月由法制部门定期抽取已立案未结案件进行审查并对审查情况进行通报，督促办案部门对符合结案条件的案件及时进行办结，对符合撤案条件的案件及时办理撤案。</w:t>
      </w:r>
    </w:p>
    <w:p w14:paraId="641A82E2">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组织办案部门对相关责任民警进行了提醒谈话，进一步压实工作责任，强化工作作风，提升工作效能。</w:t>
      </w:r>
    </w:p>
    <w:p w14:paraId="50D86BEE">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（22）</w:t>
      </w: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bidi="ar-SA"/>
        </w:rPr>
        <w:t>构建“培训赋能+考评纠偏+责任倒逼”法律文书（笔录）质量提升闭环，实现</w:t>
      </w: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法律文书（笔录）制作</w:t>
      </w: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bidi="ar-SA"/>
        </w:rPr>
        <w:t>质效升级</w:t>
      </w:r>
    </w:p>
    <w:p w14:paraId="43C4C0A8">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组织办案民警开展了笔录制作等法律文书培训，提高民警制作法律文书的能力和水平。</w:t>
      </w:r>
    </w:p>
    <w:p w14:paraId="78C9F49F">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根据分局制定的《中山市公安局横栏分局执法质量考评方案》，对在考评过程发现文书制作存在的问题及时进行纠正，并每月进行通报。</w:t>
      </w:r>
    </w:p>
    <w:p w14:paraId="074BE413">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组织办</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案部门对相关责任民警进行了提醒谈话，要求进一步强化法律文书制作工作责任感，提升法律文书制作质量。</w:t>
      </w:r>
    </w:p>
    <w:p w14:paraId="5DFE8A4A">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11.多措并举提升民警案件办理风险意识和程序意识</w:t>
      </w:r>
    </w:p>
    <w:p w14:paraId="77FD7B5C">
      <w:pPr>
        <w:keepNext w:val="0"/>
        <w:keepLines w:val="0"/>
        <w:pageBreakBefore w:val="0"/>
        <w:widowControl w:val="0"/>
        <w:numPr>
          <w:ilvl w:val="0"/>
          <w:numId w:val="0"/>
        </w:numPr>
        <w:tabs>
          <w:tab w:val="left" w:pos="840"/>
          <w:tab w:val="left" w:pos="3151"/>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（23）全力筑牢案件办理保密安全防线，</w:t>
      </w: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bidi="ar-SA"/>
        </w:rPr>
        <w:t>构建“学习排查+监督检查+机制固化”全链条保密管理体系，严格落实现有案件集体审议办法，确保实现“零泄密隐患、全流程规范”保密目标</w:t>
      </w:r>
    </w:p>
    <w:p w14:paraId="4CBA7599">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组织法制、刑侦、治安等警种和派出所专门研究讨论，学习《中华人民共和国保守国家秘密法》，排查可能存在违反保密要求的情形，并进一步改善集体审议案件机制。</w:t>
      </w:r>
    </w:p>
    <w:p w14:paraId="2FB7C477">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组织分局保密管理部门开展一次全面检查，未发现违反保密规定行为，日后将加强监督管理力度，筑牢保密安全防线。</w:t>
      </w:r>
    </w:p>
    <w:p w14:paraId="372FFAEA">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严格按照分局制定的《横栏分局案件集体审议办法》落实案件审议工作。</w:t>
      </w:r>
    </w:p>
    <w:p w14:paraId="30CFE5C9">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（24）</w:t>
      </w: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bidi="ar-SA"/>
        </w:rPr>
        <w:t>全量整改确保</w:t>
      </w: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按时将醉驾案件移送审查起诉</w:t>
      </w: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bidi="ar-SA"/>
        </w:rPr>
        <w:t>，构建“力量补强+动态清零+责任溯源”提质举措，实现“办案质效双提升、执法全链规范化”整改目标</w:t>
      </w:r>
    </w:p>
    <w:p w14:paraId="2A98D466">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对存在问题进行深入剖析，查找问题原因，并针对性将1名民警调入交警部门，补强办案力量，同时指定专职法制员对交警案件进行审核、监督，提升办案质量及效率。</w:t>
      </w:r>
    </w:p>
    <w:p w14:paraId="4B6478D1">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对案件进行全面梳理、排查，已移送审查起诉128宗，对149宗符合撤案条件的案件进行了撤案处理。</w:t>
      </w:r>
    </w:p>
    <w:p w14:paraId="579C38C2">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由交警大队领导对相关责任民警进行了提醒谈话，强化教育引导，压实工作责任，确保严格按照规定时限将醉驾案件移送审查起诉。</w:t>
      </w:r>
    </w:p>
    <w:p w14:paraId="2371E895">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（25）</w:t>
      </w: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bidi="ar-SA"/>
        </w:rPr>
        <w:t>构建“三位一体”执法规范化体系，通过研学行政案件程序规定及裁量标准夯实执法根基，完善案件分类审议呈批机制严把质量关口，强化执法考评挂钩绩效考核‌，</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进一步提升行政案件办理规范水平</w:t>
      </w:r>
    </w:p>
    <w:p w14:paraId="390609AD">
      <w:pPr>
        <w:keepNext w:val="0"/>
        <w:keepLines w:val="0"/>
        <w:pageBreakBefore w:val="0"/>
        <w:widowControl w:val="0"/>
        <w:numPr>
          <w:ilvl w:val="0"/>
          <w:numId w:val="0"/>
        </w:numPr>
        <w:tabs>
          <w:tab w:val="left" w:pos="840"/>
          <w:tab w:val="left" w:pos="3328"/>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按照执法培训计划，组织办案民警开展了业务培训，学习了《公安机关办理行政案件程序规定》《横栏分局案件集体审议办法》及上级关于办理违法案件处罚裁量指导意见的相关文件，重点针对案件定性、办案程序及自由裁量等有关要求作深入学习。</w:t>
      </w:r>
    </w:p>
    <w:p w14:paraId="0601F4DF">
      <w:pPr>
        <w:keepNext w:val="0"/>
        <w:keepLines w:val="0"/>
        <w:pageBreakBefore w:val="0"/>
        <w:widowControl w:val="0"/>
        <w:numPr>
          <w:ilvl w:val="0"/>
          <w:numId w:val="0"/>
        </w:numPr>
        <w:tabs>
          <w:tab w:val="left" w:pos="840"/>
          <w:tab w:val="left" w:pos="3328"/>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完善执法办案相关工作机制，涉处罚场所类案件均严格落实集体审议制度，严把案件质量关。</w:t>
      </w:r>
    </w:p>
    <w:p w14:paraId="0F869CEE">
      <w:pPr>
        <w:keepNext w:val="0"/>
        <w:keepLines w:val="0"/>
        <w:pageBreakBefore w:val="0"/>
        <w:widowControl w:val="0"/>
        <w:numPr>
          <w:ilvl w:val="0"/>
          <w:numId w:val="0"/>
        </w:numPr>
        <w:tabs>
          <w:tab w:val="left" w:pos="840"/>
          <w:tab w:val="left" w:pos="3328"/>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开展执法考评考核，按照《中山市公安局横栏分局执法质量考评方案》，加强分局内部执法监督，对案件定性及办案程序全面考评，落实奖优罚劣制度，将考评结果报政工监督室备案，并作为分局党委对民警年终绩效评定的参考。</w:t>
      </w:r>
    </w:p>
    <w:p w14:paraId="6DB2F57A">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color w:val="auto"/>
          <w:highlight w:val="none"/>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12.攻坚克难推进办公区改造建设项目</w:t>
      </w:r>
    </w:p>
    <w:p w14:paraId="2764000F">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（26）推进交（巡）警大队、西涌派出所新办公区改造建设项目，改善群众办事体验，提升基层所队硬件设施规范化水平</w:t>
      </w:r>
    </w:p>
    <w:p w14:paraId="244EC8C2">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分局党委积极争取上级支持，拨款专项资金用于交（巡）警大队、西涌派出所新办公大楼改造建设项目，规范建设群众业务办事大厅、综合指挥室、办公室等办公区域，现已完成建设并进驻。</w:t>
      </w:r>
    </w:p>
    <w:p w14:paraId="0BD42049">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default"/>
          <w:color w:val="auto"/>
          <w:highlight w:val="none"/>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13.加大办案场所硬件投入，全力保障规范化建设</w:t>
      </w:r>
    </w:p>
    <w:p w14:paraId="5B48DC8B">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（27）推进新执法办案管理中心改造建设</w:t>
      </w:r>
    </w:p>
    <w:p w14:paraId="7D59236E">
      <w:pPr>
        <w:keepLines w:val="0"/>
        <w:pageBreakBefore w:val="0"/>
        <w:numPr>
          <w:ilvl w:val="0"/>
          <w:numId w:val="0"/>
        </w:numPr>
        <w:kinsoku/>
        <w:wordWrap/>
        <w:overflowPunct/>
        <w:topLinePunct w:val="0"/>
        <w:bidi w:val="0"/>
        <w:spacing w:line="600" w:lineRule="exact"/>
        <w:ind w:left="0" w:leftChars="0" w:right="0" w:firstLine="640" w:firstLineChars="200"/>
        <w:jc w:val="both"/>
        <w:textAlignment w:val="auto"/>
        <w:rPr>
          <w:rFonts w:hint="default"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default"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分局党委</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积极争取上级支持，并</w:t>
      </w:r>
      <w:r>
        <w:rPr>
          <w:rFonts w:hint="default"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在</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上级有关部门</w:t>
      </w:r>
      <w:r>
        <w:rPr>
          <w:rFonts w:hint="default"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的指导下，建成新的执法办案</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管理</w:t>
      </w:r>
      <w:r>
        <w:rPr>
          <w:rFonts w:hint="default"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中心并正式投入使用，大大提高了执法办案效能，规范嫌疑人的看守、送押</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等</w:t>
      </w:r>
      <w:r>
        <w:rPr>
          <w:rFonts w:hint="default"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工作，对执法安全起到很好的保障作用。</w:t>
      </w:r>
    </w:p>
    <w:p w14:paraId="3A76A715">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0" w:firstLineChars="200"/>
        <w:jc w:val="both"/>
        <w:textAlignment w:val="auto"/>
        <w:rPr>
          <w:rFonts w:hint="eastAsia"/>
          <w:color w:val="auto"/>
          <w:sz w:val="32"/>
          <w:szCs w:val="32"/>
          <w:lang w:val="en-US" w:eastAsia="zh-CN"/>
        </w:rPr>
      </w:pPr>
      <w:r>
        <w:rPr>
          <w:rFonts w:hint="eastAsia" w:ascii="楷体_GB2312" w:hAnsi="楷体_GB2312" w:eastAsia="楷体_GB2312" w:cs="楷体_GB2312"/>
          <w:color w:val="auto"/>
          <w:sz w:val="32"/>
          <w:szCs w:val="32"/>
          <w:lang w:val="en-US" w:eastAsia="zh-CN"/>
        </w:rPr>
        <w:t>（二）聚焦全面从严管党治警方面</w:t>
      </w:r>
    </w:p>
    <w:p w14:paraId="2BC92044">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default"/>
          <w:b/>
          <w:bCs/>
          <w:color w:val="auto"/>
          <w:sz w:val="32"/>
          <w:szCs w:val="32"/>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1</w:t>
      </w:r>
      <w:r>
        <w:rPr>
          <w:rFonts w:hint="default" w:ascii="仿宋_GB2312" w:hAnsi="仿宋_GB2312" w:eastAsia="仿宋_GB2312" w:cs="仿宋_GB2312"/>
          <w:b/>
          <w:bCs/>
          <w:i w:val="0"/>
          <w:caps w:val="0"/>
          <w:color w:val="auto"/>
          <w:spacing w:val="0"/>
          <w:kern w:val="0"/>
          <w:sz w:val="32"/>
          <w:szCs w:val="32"/>
          <w:shd w:val="clear" w:color="auto" w:fill="auto"/>
          <w:lang w:val="en-US" w:eastAsia="zh-CN"/>
        </w:rPr>
        <w:t>.</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严格落实全面从严治党主体责任，多措并举推动“一岗双责”履行到位</w:t>
      </w:r>
    </w:p>
    <w:p w14:paraId="09D4229B">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（28）</w:t>
      </w: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bidi="ar-SA"/>
        </w:rPr>
        <w:t>深化“明责督责+风险防控+机制优化”三项举措，落实党委专题研究部署压实主体责任，</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健全完善定期研究全面从严治党和党风廉政建设工作机制，</w:t>
      </w: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bidi="ar-SA"/>
        </w:rPr>
        <w:t>纪委嵌入式监督强化制度刚性执行，同步开展约谈教育</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进一步规范廉政风险责任书保管，确保全面从严治党主体责任落实到位，“一岗双责”落实到位</w:t>
      </w:r>
    </w:p>
    <w:p w14:paraId="2905C946">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分局党委组织召开全面从严治党和党风廉政建设工作专题研究会，分析当前面临的形势任务，结合上半年分局党风廉政建设工作情况，指出问题不足，研究部署下半年工作任务，并召开了横栏分局2024年下半年党风廉政建设工作推进会，强调工作要求。</w:t>
      </w:r>
    </w:p>
    <w:p w14:paraId="73FC7589">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印发《关于进一步强化中山市公安局横栏分局党委党风廉政建设主体责任的意见》，明确分局党委需落实包含“每半年至少召开一次分局党委会议专题研究党风廉政建设工作，分析研判形势，研究解决问题，提出加强和改进的措施。”等具体内容的八个方面党风廉政建设主体责任的意见，并由分局纪委开展监督检查，每月召开纪委（扩大）会议通报问题不足，确保执行不偏向、不变通、不走样。</w:t>
      </w:r>
    </w:p>
    <w:p w14:paraId="4AAD3D24">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对分局廉政风险责任书保管员开展了提醒谈话，指出问题不足，要求切实扛起保管责任，落实专人专室保管措施。</w:t>
      </w:r>
    </w:p>
    <w:p w14:paraId="7CF43B23">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default"/>
          <w:b/>
          <w:bCs/>
          <w:color w:val="auto"/>
          <w:sz w:val="32"/>
          <w:szCs w:val="32"/>
          <w:lang w:val="en-US" w:eastAsia="zh-CN"/>
        </w:rPr>
      </w:pP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rPr>
        <w:t>2</w:t>
      </w:r>
      <w:r>
        <w:rPr>
          <w:rFonts w:hint="default" w:ascii="仿宋_GB2312" w:hAnsi="仿宋_GB2312" w:eastAsia="仿宋_GB2312" w:cs="仿宋_GB2312"/>
          <w:b/>
          <w:bCs/>
          <w:i w:val="0"/>
          <w:caps w:val="0"/>
          <w:snapToGrid/>
          <w:color w:val="auto"/>
          <w:spacing w:val="0"/>
          <w:kern w:val="0"/>
          <w:sz w:val="32"/>
          <w:szCs w:val="32"/>
          <w:shd w:val="clear" w:color="auto" w:fill="auto"/>
          <w:lang w:val="en-US" w:eastAsia="zh-CN"/>
        </w:rPr>
        <w:t>.</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严格抓好队伍监督执纪管理和廉政风险排查，强化抓早抓小意识和力度，切实消除队伍违纪违法风险隐患</w:t>
      </w:r>
    </w:p>
    <w:p w14:paraId="53C4EFC1">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（29）</w:t>
      </w: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bidi="ar-SA"/>
        </w:rPr>
        <w:t>构建“四位一体”廉政监督体系推进全面从严管党治警，党委领航召开专题会压实工作责任，纪委深化月例会机制落实监督责任，创新“负面清单+动态帮扶</w:t>
      </w:r>
      <w:r>
        <w:rPr>
          <w:rFonts w:hint="default" w:ascii="仿宋_GB2312" w:hAnsi="仿宋_GB2312" w:eastAsia="仿宋_GB2312" w:cs="仿宋_GB2312"/>
          <w:b/>
          <w:bCs/>
          <w:i w:val="0"/>
          <w:caps w:val="0"/>
          <w:snapToGrid/>
          <w:color w:val="auto"/>
          <w:spacing w:val="0"/>
          <w:kern w:val="0"/>
          <w:sz w:val="32"/>
          <w:szCs w:val="32"/>
          <w:shd w:val="clear" w:color="auto" w:fill="auto"/>
          <w:lang w:val="en-US" w:eastAsia="zh-CN" w:bidi="ar-SA"/>
        </w:rPr>
        <w:t>”</w:t>
      </w: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bidi="ar-SA"/>
        </w:rPr>
        <w:t>模式消除“八小时以外”监管盲区，强化涉案财物全流程管控，实现“廉政风险闭环治理、执法管理规范增效”整改目标</w:t>
      </w:r>
    </w:p>
    <w:p w14:paraId="2E8A76EA">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default"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default"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default" w:ascii="仿宋_GB2312" w:hAnsi="仿宋_GB2312" w:eastAsia="仿宋_GB2312" w:cs="仿宋_GB2312"/>
          <w:b w:val="0"/>
          <w:bCs w:val="0"/>
          <w:i w:val="0"/>
          <w:caps w:val="0"/>
          <w:color w:val="auto"/>
          <w:spacing w:val="0"/>
          <w:kern w:val="0"/>
          <w:sz w:val="32"/>
          <w:szCs w:val="32"/>
          <w:shd w:val="clear" w:color="auto" w:fill="auto"/>
          <w:lang w:val="en-US" w:eastAsia="zh-CN"/>
        </w:rPr>
        <w:t>强化党风廉政建设。组织召开全面从严治党和党风廉政建设工作专题研究会</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w:t>
      </w:r>
      <w:r>
        <w:rPr>
          <w:rFonts w:hint="default" w:ascii="仿宋_GB2312" w:hAnsi="仿宋_GB2312" w:eastAsia="仿宋_GB2312" w:cs="仿宋_GB2312"/>
          <w:b w:val="0"/>
          <w:bCs w:val="0"/>
          <w:i w:val="0"/>
          <w:caps w:val="0"/>
          <w:color w:val="auto"/>
          <w:spacing w:val="0"/>
          <w:kern w:val="0"/>
          <w:sz w:val="32"/>
          <w:szCs w:val="32"/>
          <w:shd w:val="clear" w:color="auto" w:fill="auto"/>
          <w:lang w:val="en-US" w:eastAsia="zh-CN"/>
        </w:rPr>
        <w:t>2024年下半年党风廉政建设工作推进会，分别就强化廉政风险排查、强化监督执纪、提高抓早抓小意识和力度等方面强调了工作要求，并分别召开中秋、国庆节前集体廉政谈话会强化纪律教育。</w:t>
      </w:r>
    </w:p>
    <w:p w14:paraId="08114D4D">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default"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default"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default" w:ascii="仿宋_GB2312" w:hAnsi="仿宋_GB2312" w:eastAsia="仿宋_GB2312" w:cs="仿宋_GB2312"/>
          <w:b w:val="0"/>
          <w:bCs w:val="0"/>
          <w:i w:val="0"/>
          <w:caps w:val="0"/>
          <w:color w:val="auto"/>
          <w:spacing w:val="0"/>
          <w:kern w:val="0"/>
          <w:sz w:val="32"/>
          <w:szCs w:val="32"/>
          <w:shd w:val="clear" w:color="auto" w:fill="auto"/>
          <w:lang w:val="en-US" w:eastAsia="zh-CN"/>
        </w:rPr>
        <w:t>坚持纪委月例会工作机制。</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每月组织</w:t>
      </w:r>
      <w:r>
        <w:rPr>
          <w:rFonts w:hint="default" w:ascii="仿宋_GB2312" w:hAnsi="仿宋_GB2312" w:eastAsia="仿宋_GB2312" w:cs="仿宋_GB2312"/>
          <w:b w:val="0"/>
          <w:bCs w:val="0"/>
          <w:i w:val="0"/>
          <w:caps w:val="0"/>
          <w:color w:val="auto"/>
          <w:spacing w:val="0"/>
          <w:kern w:val="0"/>
          <w:sz w:val="32"/>
          <w:szCs w:val="32"/>
          <w:shd w:val="clear" w:color="auto" w:fill="auto"/>
          <w:lang w:val="en-US" w:eastAsia="zh-CN"/>
        </w:rPr>
        <w:t>召开分局纪委（扩大）会议分析、部署全面从严治党和党风廉政建设工作。</w:t>
      </w:r>
    </w:p>
    <w:p w14:paraId="7FD4ABFC">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default" w:ascii="仿宋_GB2312" w:hAnsi="仿宋_GB2312" w:eastAsia="仿宋_GB2312" w:cs="仿宋_GB2312"/>
          <w:b/>
          <w:bCs/>
          <w:i w:val="0"/>
          <w:caps w:val="0"/>
          <w:color w:val="auto"/>
          <w:spacing w:val="0"/>
          <w:kern w:val="0"/>
          <w:sz w:val="32"/>
          <w:szCs w:val="32"/>
          <w:shd w:val="clear" w:color="auto" w:fill="auto"/>
          <w:lang w:val="en-US" w:eastAsia="zh-CN"/>
        </w:rPr>
      </w:pPr>
      <w:r>
        <w:rPr>
          <w:rFonts w:hint="default"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default" w:ascii="仿宋_GB2312" w:hAnsi="仿宋_GB2312" w:eastAsia="仿宋_GB2312" w:cs="仿宋_GB2312"/>
          <w:b w:val="0"/>
          <w:bCs w:val="0"/>
          <w:i w:val="0"/>
          <w:caps w:val="0"/>
          <w:color w:val="auto"/>
          <w:spacing w:val="0"/>
          <w:kern w:val="0"/>
          <w:sz w:val="32"/>
          <w:szCs w:val="32"/>
          <w:shd w:val="clear" w:color="auto" w:fill="auto"/>
          <w:lang w:val="en-US" w:eastAsia="zh-CN"/>
        </w:rPr>
        <w:t>建立负面清单工作机制。强化重点人员、关键岗位监督管理，针对监督盲区死角、问题易发多发领域及具体表现研究制定“八小时以外”监督管理负面清单，紧紧围绕21项具体禁止行为，每日对全体民辅警深入开展排查，对排查发现问题情况如实填报，建立</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队伍管理领域帮扶</w:t>
      </w:r>
      <w:r>
        <w:rPr>
          <w:rFonts w:hint="default" w:ascii="仿宋_GB2312" w:hAnsi="仿宋_GB2312" w:eastAsia="仿宋_GB2312" w:cs="仿宋_GB2312"/>
          <w:b w:val="0"/>
          <w:bCs w:val="0"/>
          <w:i w:val="0"/>
          <w:caps w:val="0"/>
          <w:color w:val="auto"/>
          <w:spacing w:val="0"/>
          <w:kern w:val="0"/>
          <w:sz w:val="32"/>
          <w:szCs w:val="32"/>
          <w:shd w:val="clear" w:color="auto" w:fill="auto"/>
          <w:lang w:val="en-US" w:eastAsia="zh-CN"/>
        </w:rPr>
        <w:t>人员清单，制定化解措施及计划，完善“一人一档”，定人定责定期帮扶。</w:t>
      </w:r>
    </w:p>
    <w:p w14:paraId="5FB1326C">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default"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default" w:ascii="仿宋_GB2312" w:hAnsi="仿宋_GB2312" w:eastAsia="仿宋_GB2312" w:cs="仿宋_GB2312"/>
          <w:b/>
          <w:bCs/>
          <w:i w:val="0"/>
          <w:caps w:val="0"/>
          <w:color w:val="auto"/>
          <w:spacing w:val="0"/>
          <w:kern w:val="0"/>
          <w:sz w:val="32"/>
          <w:szCs w:val="32"/>
          <w:shd w:val="clear" w:color="auto" w:fill="auto"/>
          <w:lang w:val="en-US" w:eastAsia="zh-CN"/>
        </w:rPr>
        <w:t>四是</w:t>
      </w:r>
      <w:r>
        <w:rPr>
          <w:rFonts w:hint="default" w:ascii="仿宋_GB2312" w:hAnsi="仿宋_GB2312" w:eastAsia="仿宋_GB2312" w:cs="仿宋_GB2312"/>
          <w:b w:val="0"/>
          <w:bCs w:val="0"/>
          <w:i w:val="0"/>
          <w:caps w:val="0"/>
          <w:color w:val="auto"/>
          <w:spacing w:val="0"/>
          <w:kern w:val="0"/>
          <w:sz w:val="32"/>
          <w:szCs w:val="32"/>
          <w:shd w:val="clear" w:color="auto" w:fill="auto"/>
          <w:lang w:val="en-US" w:eastAsia="zh-CN"/>
        </w:rPr>
        <w:t>抓好涉案财物监督管理。分局党委</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主要负责同志</w:t>
      </w:r>
      <w:r>
        <w:rPr>
          <w:rFonts w:hint="default" w:ascii="仿宋_GB2312" w:hAnsi="仿宋_GB2312" w:eastAsia="仿宋_GB2312" w:cs="仿宋_GB2312"/>
          <w:b w:val="0"/>
          <w:bCs w:val="0"/>
          <w:i w:val="0"/>
          <w:caps w:val="0"/>
          <w:color w:val="auto"/>
          <w:spacing w:val="0"/>
          <w:kern w:val="0"/>
          <w:sz w:val="32"/>
          <w:szCs w:val="32"/>
          <w:shd w:val="clear" w:color="auto" w:fill="auto"/>
          <w:lang w:val="en-US" w:eastAsia="zh-CN"/>
        </w:rPr>
        <w:t>主持召开分局涉案财物管理工作推进会，要求各部门以巡察整改工作为契机，进一步盘活警力、整合执法力量，落实好对查扣财物规范化管理，确保案件办理质量。制定下发《中山市公安局横栏分局涉案财物管理规定》，</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组织</w:t>
      </w:r>
      <w:r>
        <w:rPr>
          <w:rFonts w:hint="default" w:ascii="仿宋_GB2312" w:hAnsi="仿宋_GB2312" w:eastAsia="仿宋_GB2312" w:cs="仿宋_GB2312"/>
          <w:b w:val="0"/>
          <w:bCs w:val="0"/>
          <w:i w:val="0"/>
          <w:caps w:val="0"/>
          <w:color w:val="auto"/>
          <w:spacing w:val="0"/>
          <w:kern w:val="0"/>
          <w:sz w:val="32"/>
          <w:szCs w:val="32"/>
          <w:shd w:val="clear" w:color="auto" w:fill="auto"/>
          <w:lang w:val="en-US" w:eastAsia="zh-CN"/>
        </w:rPr>
        <w:t>涉案财物管理中心每月15日或30日会同政工监督室，对各办案部门贯彻落实《中山市公安局横栏分局涉案财物管理规定》情况进行检查，发现问题及时予以纠正。</w:t>
      </w:r>
    </w:p>
    <w:p w14:paraId="16D2CB87">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default"/>
          <w:b/>
          <w:bCs/>
          <w:color w:val="auto"/>
          <w:sz w:val="32"/>
          <w:szCs w:val="32"/>
          <w:lang w:val="en-US" w:eastAsia="zh-CN"/>
        </w:rPr>
      </w:pP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rPr>
        <w:t>3</w:t>
      </w:r>
      <w:r>
        <w:rPr>
          <w:rFonts w:hint="default" w:ascii="仿宋_GB2312" w:hAnsi="仿宋_GB2312" w:eastAsia="仿宋_GB2312" w:cs="仿宋_GB2312"/>
          <w:b/>
          <w:bCs/>
          <w:i w:val="0"/>
          <w:caps w:val="0"/>
          <w:snapToGrid/>
          <w:color w:val="auto"/>
          <w:spacing w:val="0"/>
          <w:kern w:val="0"/>
          <w:sz w:val="32"/>
          <w:szCs w:val="32"/>
          <w:shd w:val="clear" w:color="auto" w:fill="auto"/>
          <w:lang w:val="en-US" w:eastAsia="zh-CN"/>
        </w:rPr>
        <w:t>.</w:t>
      </w: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rPr>
        <w:t>严格</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落实办案区登记管理制度</w:t>
      </w:r>
    </w:p>
    <w:p w14:paraId="6907EBFB">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（30）落实落细办案区登记管理制度，进一步规范办案区使用情况登记表填写</w:t>
      </w:r>
    </w:p>
    <w:p w14:paraId="1762FADF">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分局党委班子成员及督察、法制等部门不定时抽查办案中心的使用情况登记表，督促严格按规定填写，并由法制大队组织办案中心专职人员进行培训与教育3次，参加人员32人次。</w:t>
      </w:r>
    </w:p>
    <w:p w14:paraId="498DD2A1">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明确执法办案中心每名工作人员的岗位职责，落实专人专岗，保障办案区使用情况登记表规范登记职责有效落实。</w:t>
      </w:r>
    </w:p>
    <w:p w14:paraId="265E5E73">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每天不定期进行网上巡查，分局值班局领导每日均到执法办案中心开展检查工作。截至2025年3月，分局值班局领导对执法办案管理中心督导检查61次，及时发现问题并立行立改。</w:t>
      </w:r>
    </w:p>
    <w:p w14:paraId="7EE30899">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4.落实公务用枪监管，抓好管理使用程序规范和技能培训</w:t>
      </w:r>
    </w:p>
    <w:p w14:paraId="6F517F5C">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（31）</w:t>
      </w:r>
      <w:r>
        <w:rPr>
          <w:rFonts w:hint="eastAsia" w:ascii="仿宋_GB2312" w:hAnsi="仿宋_GB2312" w:eastAsia="仿宋_GB2312" w:cs="仿宋_GB2312"/>
          <w:b/>
          <w:bCs/>
          <w:color w:val="auto"/>
          <w:sz w:val="32"/>
          <w:szCs w:val="32"/>
        </w:rPr>
        <w:t>构建全链条公务用枪闭环管理体系，通过逐级压实管理责任、常态化开展配枪民警思想教育、落实枪弹分类存储与故障枪支专项整改、配置临时存放专用设施，建立</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督导检查+单位每日自查+问题即时约谈</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动态监管机制，</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进一步提升公务用枪保管、领用工作规范水平</w:t>
      </w:r>
    </w:p>
    <w:p w14:paraId="6817D22B">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压实枪支管理层级责任，对配枪民警开展谈心谈话。</w:t>
      </w:r>
    </w:p>
    <w:p w14:paraId="624C6F09">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结合上级公务用枪排查整治工作，常态化抓好督导检查，督促及时进行保养工作，截至2025年3月，已开展检查11次，暂未发现其他问题。</w:t>
      </w:r>
    </w:p>
    <w:p w14:paraId="38D8C977">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对各类别子弹分类存放，防暴弹全量移送市局处理，存在故障的枪支按照要求及时整改落实；专门配置保险柜，供配枪民警临时存放枪支使用；分管局领导对涉枪问题相关责任民警进行谈话提醒，加强警示教育。</w:t>
      </w:r>
    </w:p>
    <w:p w14:paraId="213865B0">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四是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根据上级要求，督促派出所每日对枪支申领、归还等流程进行自我检查，并报送上级。目前，共开展自检自查工作46次，分管局领导对3个相关部门主要负责人进行谈话提醒3次，要求进一步加强公务用枪管理。</w:t>
      </w:r>
    </w:p>
    <w:p w14:paraId="6334932F">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（32）</w:t>
      </w:r>
      <w:r>
        <w:rPr>
          <w:rFonts w:hint="eastAsia" w:ascii="仿宋_GB2312" w:hAnsi="仿宋_GB2312" w:eastAsia="仿宋_GB2312" w:cs="仿宋_GB2312"/>
          <w:b/>
          <w:bCs/>
          <w:color w:val="auto"/>
          <w:sz w:val="32"/>
          <w:szCs w:val="32"/>
        </w:rPr>
        <w:t>构建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训考-审查-教育</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三位一体公务用枪管理体系，通过常态化组织实弹射击培训考核、建立配枪民警动态审查机制、及时清理不符合持枪资格人员，结合制定专项学习方案、分层分类开展制度规范专题培训、创新</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理论微课+实操演练</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融合教学模式，全链条强化枪支管理效能</w:t>
      </w:r>
    </w:p>
    <w:p w14:paraId="40187082">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开展两轮公务用枪实弹射击培训，参训民警均通过实弹射击考核。</w:t>
      </w:r>
    </w:p>
    <w:p w14:paraId="225AA315">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强化人员培训与动态审查工作。落实每季度对全部配枪民警进行动态审查，及时掌握配枪民警的思想动态、生活情况等，经审查后，按相关规定，对不符合配枪条件人员及时注销持枪资格，进一步规范民警配枪管理。</w:t>
      </w:r>
    </w:p>
    <w:p w14:paraId="4B332725">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及时把上级关于枪支管理最新要求传发至全体民警并抓好贯彻，制定下发《关于开展横栏公安分局警情处置枪支使用专项学习训练的通知》，日常组织各部门通过“个人自学+集中培训”的形式，学习上级关于公务用枪管理规定、管理使用操作细则等有关文件精神及警情处置枪支使用指引的视频微课程共2轮次264人次。</w:t>
      </w:r>
    </w:p>
    <w:p w14:paraId="0DD33A54">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5.提高思想认识，确保押解安全</w:t>
      </w:r>
    </w:p>
    <w:p w14:paraId="441D1A79">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（33）</w:t>
      </w:r>
      <w:r>
        <w:rPr>
          <w:rFonts w:hint="eastAsia" w:ascii="仿宋_GB2312" w:hAnsi="仿宋_GB2312" w:eastAsia="仿宋_GB2312" w:cs="仿宋_GB2312"/>
          <w:b/>
          <w:bCs/>
          <w:color w:val="auto"/>
          <w:sz w:val="32"/>
          <w:szCs w:val="32"/>
        </w:rPr>
        <w:t>通过细化岗位职责规范、实行每日例会风险研判机制，结合开展人身检查与安全执勤专题培训、定期组织应急处置演练，配套升级囚车及执法记录仪等专业装备，系统推进从岗位责任落实到应急预案执行的全流程标准化建设，全面提升执法办案场所安全管控质效</w:t>
      </w:r>
      <w:r>
        <w:rPr>
          <w:rFonts w:hint="eastAsia" w:ascii="仿宋_GB2312" w:hAnsi="仿宋_GB2312" w:eastAsia="仿宋_GB2312" w:cs="仿宋_GB2312"/>
          <w:b/>
          <w:bCs/>
          <w:color w:val="auto"/>
          <w:sz w:val="32"/>
          <w:szCs w:val="32"/>
          <w:lang w:eastAsia="zh-CN"/>
        </w:rPr>
        <w:t>，确保押解安全</w:t>
      </w:r>
    </w:p>
    <w:p w14:paraId="38155121">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制定《中山市公安局横栏分局执法办案管理中心岗位工作规范》，明确执法办案管理中心每个人的岗位职责与责任，并每天召开例会针对办案中心各方面工作进行提醒，确保执法安全事故零发生。</w:t>
      </w:r>
    </w:p>
    <w:p w14:paraId="1FD196EE">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加强教育培训，邀请上级有关部门民警到办案中心开展了人身检查培训，分局执法办案管理中心也组织开展了规范安全执勤培训。</w:t>
      </w:r>
    </w:p>
    <w:p w14:paraId="672456C4">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强化机制建设，制定了《中山市公安局横栏分局执法办案管理中心应急处置预案》，并按照预案进行了实地应急演练。制定了《横栏分局执法办案管理中心十个“一律”规定》，要求执法办案管理中心和办案部门要严格执行，并依法依规开展工作。</w:t>
      </w:r>
    </w:p>
    <w:p w14:paraId="5EE2A125">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四是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分局党委高度重视嫌疑人押解工作，积极向上级争取支持，新采购警车一辆及执法记录仪两台，专门用于违法犯罪人员押送工作，提高了违法犯罪嫌疑人押送工作效率和安全保障。</w:t>
      </w:r>
    </w:p>
    <w:p w14:paraId="03CF07E8">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default" w:ascii="Calibri" w:hAnsi="Calibri" w:cs="Calibri"/>
          <w:b/>
          <w:bCs/>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6.提升案件办理质效</w:t>
      </w:r>
    </w:p>
    <w:p w14:paraId="33C6FACD">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（34）</w:t>
      </w:r>
      <w:r>
        <w:rPr>
          <w:rFonts w:hint="eastAsia" w:ascii="仿宋_GB2312" w:hAnsi="仿宋_GB2312" w:eastAsia="仿宋_GB2312" w:cs="仿宋_GB2312"/>
          <w:b/>
          <w:bCs/>
          <w:color w:val="auto"/>
          <w:sz w:val="32"/>
          <w:szCs w:val="32"/>
        </w:rPr>
        <w:t>聚焦案件办理质效双提升，通过强化跨警种协作与全流程监督，推动案件快侦快结</w:t>
      </w:r>
    </w:p>
    <w:p w14:paraId="0BC7EEAE">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建立案件督办机制。抽调警力全程协助参与派出所对案件的侦办过程，推动案件快速办结。同时，分局加强对办案部门的监督，全流程跟进办理，有效提升案件的办理办结质量。</w:t>
      </w:r>
    </w:p>
    <w:p w14:paraId="4D85517E">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及时进行查处反馈。</w:t>
      </w:r>
    </w:p>
    <w:p w14:paraId="6FE4F4B9">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default"/>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7.加强财务管理，全力整治违规报销问题风险隐患绝不手软</w:t>
      </w:r>
    </w:p>
    <w:p w14:paraId="704D8A94">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（35）</w:t>
      </w:r>
      <w:r>
        <w:rPr>
          <w:rFonts w:hint="eastAsia" w:ascii="仿宋_GB2312" w:hAnsi="仿宋_GB2312" w:eastAsia="仿宋_GB2312" w:cs="仿宋_GB2312"/>
          <w:b/>
          <w:bCs/>
          <w:i w:val="0"/>
          <w:iCs w:val="0"/>
          <w:caps w:val="0"/>
          <w:color w:val="auto"/>
          <w:spacing w:val="0"/>
          <w:sz w:val="32"/>
          <w:szCs w:val="32"/>
          <w:shd w:val="clear" w:fill="FFFFFF"/>
        </w:rPr>
        <w:t>聚焦财务报销管理</w:t>
      </w:r>
      <w:r>
        <w:rPr>
          <w:rFonts w:hint="eastAsia" w:ascii="仿宋_GB2312" w:hAnsi="仿宋_GB2312" w:eastAsia="仿宋_GB2312" w:cs="仿宋_GB2312"/>
          <w:b/>
          <w:bCs/>
          <w:i w:val="0"/>
          <w:iCs w:val="0"/>
          <w:caps w:val="0"/>
          <w:color w:val="auto"/>
          <w:spacing w:val="0"/>
          <w:sz w:val="32"/>
          <w:szCs w:val="32"/>
          <w:shd w:val="clear" w:fill="FFFFFF"/>
          <w:lang w:eastAsia="zh-CN"/>
        </w:rPr>
        <w:t>薄弱环节</w:t>
      </w:r>
      <w:r>
        <w:rPr>
          <w:rFonts w:hint="eastAsia" w:ascii="仿宋_GB2312" w:hAnsi="仿宋_GB2312" w:eastAsia="仿宋_GB2312" w:cs="仿宋_GB2312"/>
          <w:b/>
          <w:bCs/>
          <w:i w:val="0"/>
          <w:iCs w:val="0"/>
          <w:caps w:val="0"/>
          <w:color w:val="auto"/>
          <w:spacing w:val="0"/>
          <w:sz w:val="32"/>
          <w:szCs w:val="32"/>
          <w:shd w:val="clear" w:fill="FFFFFF"/>
        </w:rPr>
        <w:t>，实施</w:t>
      </w:r>
      <w:r>
        <w:rPr>
          <w:rFonts w:hint="eastAsia" w:ascii="仿宋_GB2312" w:hAnsi="仿宋_GB2312" w:eastAsia="仿宋_GB2312" w:cs="仿宋_GB2312"/>
          <w:b/>
          <w:bCs/>
          <w:i w:val="0"/>
          <w:iCs w:val="0"/>
          <w:caps w:val="0"/>
          <w:color w:val="auto"/>
          <w:spacing w:val="0"/>
          <w:sz w:val="32"/>
          <w:szCs w:val="32"/>
          <w:shd w:val="clear" w:fill="FFFFFF"/>
          <w:lang w:eastAsia="zh-CN"/>
        </w:rPr>
        <w:t>“排查—</w:t>
      </w:r>
      <w:r>
        <w:rPr>
          <w:rFonts w:hint="eastAsia" w:ascii="仿宋_GB2312" w:hAnsi="仿宋_GB2312" w:eastAsia="仿宋_GB2312" w:cs="仿宋_GB2312"/>
          <w:b/>
          <w:bCs/>
          <w:i w:val="0"/>
          <w:iCs w:val="0"/>
          <w:caps w:val="0"/>
          <w:color w:val="auto"/>
          <w:spacing w:val="0"/>
          <w:sz w:val="32"/>
          <w:szCs w:val="32"/>
          <w:shd w:val="clear" w:fill="FFFFFF"/>
        </w:rPr>
        <w:t>建制</w:t>
      </w:r>
      <w:r>
        <w:rPr>
          <w:rFonts w:hint="eastAsia" w:ascii="仿宋_GB2312" w:hAnsi="仿宋_GB2312" w:eastAsia="仿宋_GB2312" w:cs="仿宋_GB2312"/>
          <w:b/>
          <w:bCs/>
          <w:i w:val="0"/>
          <w:iCs w:val="0"/>
          <w:caps w:val="0"/>
          <w:color w:val="auto"/>
          <w:spacing w:val="0"/>
          <w:sz w:val="32"/>
          <w:szCs w:val="32"/>
          <w:shd w:val="clear" w:fill="FFFFFF"/>
          <w:lang w:eastAsia="zh-CN"/>
        </w:rPr>
        <w:t>—</w:t>
      </w:r>
      <w:r>
        <w:rPr>
          <w:rFonts w:hint="eastAsia" w:ascii="仿宋_GB2312" w:hAnsi="仿宋_GB2312" w:eastAsia="仿宋_GB2312" w:cs="仿宋_GB2312"/>
          <w:b/>
          <w:bCs/>
          <w:i w:val="0"/>
          <w:iCs w:val="0"/>
          <w:caps w:val="0"/>
          <w:color w:val="auto"/>
          <w:spacing w:val="0"/>
          <w:sz w:val="32"/>
          <w:szCs w:val="32"/>
          <w:shd w:val="clear" w:fill="FFFFFF"/>
        </w:rPr>
        <w:t>强责</w:t>
      </w:r>
      <w:r>
        <w:rPr>
          <w:rFonts w:hint="eastAsia" w:ascii="仿宋_GB2312" w:hAnsi="仿宋_GB2312" w:eastAsia="仿宋_GB2312" w:cs="仿宋_GB2312"/>
          <w:b/>
          <w:bCs/>
          <w:i w:val="0"/>
          <w:iCs w:val="0"/>
          <w:caps w:val="0"/>
          <w:color w:val="auto"/>
          <w:spacing w:val="0"/>
          <w:sz w:val="32"/>
          <w:szCs w:val="32"/>
          <w:shd w:val="clear" w:fill="FFFFFF"/>
          <w:lang w:eastAsia="zh-CN"/>
        </w:rPr>
        <w:t>”</w:t>
      </w:r>
      <w:r>
        <w:rPr>
          <w:rFonts w:hint="eastAsia" w:ascii="仿宋_GB2312" w:hAnsi="仿宋_GB2312" w:eastAsia="仿宋_GB2312" w:cs="仿宋_GB2312"/>
          <w:b/>
          <w:bCs/>
          <w:i w:val="0"/>
          <w:iCs w:val="0"/>
          <w:caps w:val="0"/>
          <w:color w:val="auto"/>
          <w:spacing w:val="0"/>
          <w:sz w:val="32"/>
          <w:szCs w:val="32"/>
          <w:shd w:val="clear" w:fill="FFFFFF"/>
        </w:rPr>
        <w:t>专项整治，通过约谈涉事人员、组织凭证核查消除风险隐患、制定分级审核操作规范堵塞制度漏洞，系统提升财务监管质效</w:t>
      </w:r>
    </w:p>
    <w:p w14:paraId="35759AF2">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highlight w:val="yellow"/>
          <w:shd w:val="clear" w:color="auto" w:fill="auto"/>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rPr>
        <w:t>开展违规报销专项排查，对相关责任人进行了提醒谈话。经核查，未发现违纪违法问题。</w:t>
      </w:r>
    </w:p>
    <w:p w14:paraId="2C26A609">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rPr>
        <w:t>经对2022年至今办案费、差旅费等已报销单据抽检50单次，暂未发现类似问题。</w:t>
      </w:r>
    </w:p>
    <w:p w14:paraId="73E57D0B">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rPr>
        <w:t>完善报销流程规范，研究制定《横栏公安分局财务管理规定（试行）》，进一步规范了经费报销审批手续，按分级负责、七层把关的原则，对经费报销的实质性和合理性进行审查，全力杜绝报销不规范情况发生。</w:t>
      </w:r>
    </w:p>
    <w:p w14:paraId="3723B5A8">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8.落实监管责任，严格把关缉私资金申报及使用</w:t>
      </w:r>
    </w:p>
    <w:p w14:paraId="343DC9F2">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（36）</w:t>
      </w:r>
      <w:r>
        <w:rPr>
          <w:rFonts w:hint="eastAsia" w:ascii="仿宋_GB2312" w:hAnsi="仿宋_GB2312" w:eastAsia="仿宋_GB2312" w:cs="仿宋_GB2312"/>
          <w:b/>
          <w:bCs/>
          <w:i w:val="0"/>
          <w:iCs w:val="0"/>
          <w:caps w:val="0"/>
          <w:color w:val="auto"/>
          <w:spacing w:val="0"/>
          <w:sz w:val="32"/>
          <w:szCs w:val="32"/>
          <w:shd w:val="clear" w:fill="FFFFFF"/>
        </w:rPr>
        <w:t>聚焦专项资金管理风险，通过专项约谈厘清责任链条、制定内控标准强化凭证审核机制，系统提升</w:t>
      </w:r>
      <w:r>
        <w:rPr>
          <w:rFonts w:hint="eastAsia" w:ascii="仿宋_GB2312" w:hAnsi="仿宋_GB2312" w:eastAsia="仿宋_GB2312" w:cs="仿宋_GB2312"/>
          <w:b/>
          <w:bCs/>
          <w:i w:val="0"/>
          <w:iCs w:val="0"/>
          <w:caps w:val="0"/>
          <w:color w:val="auto"/>
          <w:spacing w:val="0"/>
          <w:sz w:val="32"/>
          <w:szCs w:val="32"/>
          <w:shd w:val="clear" w:fill="FFFFFF"/>
          <w:lang w:eastAsia="zh-CN"/>
        </w:rPr>
        <w:t>缉私资金申报使用</w:t>
      </w:r>
      <w:r>
        <w:rPr>
          <w:rFonts w:hint="eastAsia" w:ascii="仿宋_GB2312" w:hAnsi="仿宋_GB2312" w:eastAsia="仿宋_GB2312" w:cs="仿宋_GB2312"/>
          <w:b/>
          <w:bCs/>
          <w:i w:val="0"/>
          <w:iCs w:val="0"/>
          <w:caps w:val="0"/>
          <w:color w:val="auto"/>
          <w:spacing w:val="0"/>
          <w:sz w:val="32"/>
          <w:szCs w:val="32"/>
          <w:shd w:val="clear" w:fill="FFFFFF"/>
        </w:rPr>
        <w:t>监管质效</w:t>
      </w:r>
    </w:p>
    <w:p w14:paraId="67D8C906">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rPr>
      </w:pPr>
      <w:r>
        <w:rPr>
          <w:rFonts w:hint="default" w:ascii="仿宋_GB2312" w:hAnsi="仿宋_GB2312" w:eastAsia="仿宋_GB2312" w:cs="仿宋_GB2312"/>
          <w:b/>
          <w:bCs/>
          <w:i w:val="0"/>
          <w:iCs w:val="0"/>
          <w:caps w:val="0"/>
          <w:color w:val="auto"/>
          <w:spacing w:val="0"/>
          <w:kern w:val="0"/>
          <w:sz w:val="32"/>
          <w:szCs w:val="32"/>
          <w:highlight w:val="none"/>
          <w:shd w:val="clear" w:color="auto" w:fill="auto"/>
          <w:lang w:val="en-US" w:eastAsia="zh-CN"/>
        </w:rPr>
        <w:t>一是</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rPr>
        <w:t>开展缉私资金管理使用风险问题隐患专项排查整治工作，对相关责任人进行了提醒谈话。</w:t>
      </w:r>
      <w:r>
        <w:rPr>
          <w:rFonts w:hint="default" w:ascii="仿宋_GB2312" w:hAnsi="仿宋_GB2312" w:eastAsia="仿宋_GB2312" w:cs="仿宋_GB2312"/>
          <w:b w:val="0"/>
          <w:bCs w:val="0"/>
          <w:i w:val="0"/>
          <w:iCs w:val="0"/>
          <w:caps w:val="0"/>
          <w:color w:val="auto"/>
          <w:spacing w:val="0"/>
          <w:kern w:val="0"/>
          <w:sz w:val="32"/>
          <w:szCs w:val="32"/>
          <w:highlight w:val="none"/>
          <w:shd w:val="clear" w:color="auto" w:fill="auto"/>
          <w:lang w:val="en-US" w:eastAsia="zh-CN"/>
        </w:rPr>
        <w:t>经核查，未发现违法违纪问题。</w:t>
      </w:r>
    </w:p>
    <w:p w14:paraId="51558299">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default" w:ascii="仿宋_GB2312" w:hAnsi="仿宋_GB2312" w:eastAsia="仿宋_GB2312" w:cs="仿宋_GB2312"/>
          <w:b w:val="0"/>
          <w:bCs w:val="0"/>
          <w:i w:val="0"/>
          <w:iCs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iCs w:val="0"/>
          <w:caps w:val="0"/>
          <w:color w:val="auto"/>
          <w:spacing w:val="0"/>
          <w:kern w:val="0"/>
          <w:sz w:val="32"/>
          <w:szCs w:val="32"/>
          <w:highlight w:val="none"/>
          <w:shd w:val="clear" w:color="auto" w:fill="auto"/>
          <w:lang w:val="en-US" w:eastAsia="zh-CN"/>
        </w:rPr>
        <w:t>二</w:t>
      </w:r>
      <w:r>
        <w:rPr>
          <w:rFonts w:hint="default" w:ascii="仿宋_GB2312" w:hAnsi="仿宋_GB2312" w:eastAsia="仿宋_GB2312" w:cs="仿宋_GB2312"/>
          <w:b/>
          <w:bCs/>
          <w:i w:val="0"/>
          <w:iCs w:val="0"/>
          <w:caps w:val="0"/>
          <w:color w:val="auto"/>
          <w:spacing w:val="0"/>
          <w:kern w:val="0"/>
          <w:sz w:val="32"/>
          <w:szCs w:val="32"/>
          <w:highlight w:val="none"/>
          <w:shd w:val="clear" w:color="auto" w:fill="auto"/>
          <w:lang w:val="en-US" w:eastAsia="zh-CN"/>
        </w:rPr>
        <w:t>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排查近3年以</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来相关举报奖励记账凭证共44份，未发现类似问题。</w:t>
      </w:r>
    </w:p>
    <w:p w14:paraId="0EA87A3B">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default" w:ascii="仿宋_GB2312" w:hAnsi="仿宋_GB2312" w:eastAsia="仿宋_GB2312" w:cs="仿宋_GB2312"/>
          <w:b/>
          <w:bCs/>
          <w:i w:val="0"/>
          <w:iCs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rPr>
        <w:t>完善缉私资金管理使用制度，作为分局财务管理规定的具体内容，进一步加强对原始凭证的审核力度，</w:t>
      </w:r>
      <w:r>
        <w:rPr>
          <w:rFonts w:hint="eastAsia" w:ascii="仿宋_GB2312" w:hAnsi="仿宋_GB2312" w:eastAsia="仿宋_GB2312" w:cs="仿宋_GB2312"/>
          <w:color w:val="auto"/>
          <w:kern w:val="0"/>
          <w:sz w:val="32"/>
          <w:szCs w:val="32"/>
          <w:lang w:val="en-US" w:eastAsia="zh-CN" w:bidi="ar"/>
        </w:rPr>
        <w:t>重点审核原始凭证的真实性和合规性，对发现不真实、不合法的，不予受理，切实</w:t>
      </w:r>
      <w:r>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rPr>
        <w:t>严肃财经纪律，做到严格审核把关。</w:t>
      </w:r>
    </w:p>
    <w:p w14:paraId="189036D7">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rPr>
        <w:t>9.强化财务管理把关，全面消除风险漏洞</w:t>
      </w:r>
    </w:p>
    <w:p w14:paraId="4C6B8E50">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（37）</w:t>
      </w:r>
      <w:r>
        <w:rPr>
          <w:rFonts w:hint="eastAsia" w:ascii="仿宋_GB2312" w:hAnsi="仿宋_GB2312" w:eastAsia="仿宋_GB2312" w:cs="仿宋_GB2312"/>
          <w:b/>
          <w:bCs/>
          <w:i w:val="0"/>
          <w:iCs w:val="0"/>
          <w:caps w:val="0"/>
          <w:color w:val="auto"/>
          <w:spacing w:val="0"/>
          <w:sz w:val="32"/>
          <w:szCs w:val="32"/>
          <w:shd w:val="clear" w:fill="FFFFFF"/>
        </w:rPr>
        <w:t>推进差旅</w:t>
      </w:r>
      <w:r>
        <w:rPr>
          <w:rFonts w:hint="eastAsia" w:ascii="仿宋_GB2312" w:hAnsi="仿宋_GB2312" w:eastAsia="仿宋_GB2312" w:cs="仿宋_GB2312"/>
          <w:b/>
          <w:bCs/>
          <w:i w:val="0"/>
          <w:iCs w:val="0"/>
          <w:caps w:val="0"/>
          <w:color w:val="auto"/>
          <w:spacing w:val="0"/>
          <w:sz w:val="32"/>
          <w:szCs w:val="32"/>
          <w:shd w:val="clear" w:fill="FFFFFF"/>
          <w:lang w:eastAsia="zh-CN"/>
        </w:rPr>
        <w:t>费</w:t>
      </w:r>
      <w:r>
        <w:rPr>
          <w:rFonts w:hint="eastAsia" w:ascii="仿宋_GB2312" w:hAnsi="仿宋_GB2312" w:eastAsia="仿宋_GB2312" w:cs="仿宋_GB2312"/>
          <w:b/>
          <w:bCs/>
          <w:i w:val="0"/>
          <w:iCs w:val="0"/>
          <w:caps w:val="0"/>
          <w:color w:val="auto"/>
          <w:spacing w:val="0"/>
          <w:sz w:val="32"/>
          <w:szCs w:val="32"/>
          <w:shd w:val="clear" w:fill="FFFFFF"/>
        </w:rPr>
        <w:t>审批标准化建设，提升</w:t>
      </w:r>
      <w:r>
        <w:rPr>
          <w:rFonts w:hint="eastAsia" w:ascii="仿宋_GB2312" w:hAnsi="仿宋_GB2312" w:eastAsia="仿宋_GB2312" w:cs="仿宋_GB2312"/>
          <w:b/>
          <w:bCs/>
          <w:i w:val="0"/>
          <w:iCs w:val="0"/>
          <w:caps w:val="0"/>
          <w:color w:val="auto"/>
          <w:spacing w:val="0"/>
          <w:sz w:val="32"/>
          <w:szCs w:val="32"/>
          <w:shd w:val="clear" w:fill="FFFFFF"/>
          <w:lang w:eastAsia="zh-CN"/>
        </w:rPr>
        <w:t>差旅费报销</w:t>
      </w:r>
      <w:r>
        <w:rPr>
          <w:rFonts w:hint="eastAsia" w:ascii="仿宋_GB2312" w:hAnsi="仿宋_GB2312" w:eastAsia="仿宋_GB2312" w:cs="仿宋_GB2312"/>
          <w:b/>
          <w:bCs/>
          <w:i w:val="0"/>
          <w:iCs w:val="0"/>
          <w:caps w:val="0"/>
          <w:color w:val="auto"/>
          <w:spacing w:val="0"/>
          <w:sz w:val="32"/>
          <w:szCs w:val="32"/>
          <w:shd w:val="clear" w:fill="FFFFFF"/>
        </w:rPr>
        <w:t>安全性与规范性</w:t>
      </w:r>
    </w:p>
    <w:p w14:paraId="0A09D3B3">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default" w:ascii="仿宋_GB2312" w:hAnsi="仿宋_GB2312" w:eastAsia="仿宋_GB2312" w:cs="仿宋_GB2312"/>
          <w:b w:val="0"/>
          <w:bCs w:val="0"/>
          <w:i w:val="0"/>
          <w:iCs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rPr>
        <w:t>开展差旅费报销专项排查整治工作，对相关责任人进行了提醒谈话。经核查，</w:t>
      </w:r>
      <w:r>
        <w:rPr>
          <w:rFonts w:hint="default" w:ascii="仿宋_GB2312" w:hAnsi="仿宋_GB2312" w:eastAsia="仿宋_GB2312" w:cs="仿宋_GB2312"/>
          <w:b w:val="0"/>
          <w:bCs w:val="0"/>
          <w:i w:val="0"/>
          <w:iCs w:val="0"/>
          <w:caps w:val="0"/>
          <w:color w:val="auto"/>
          <w:spacing w:val="0"/>
          <w:kern w:val="0"/>
          <w:sz w:val="32"/>
          <w:szCs w:val="32"/>
          <w:shd w:val="clear" w:color="auto" w:fill="auto"/>
          <w:lang w:val="en-US" w:eastAsia="zh-CN"/>
        </w:rPr>
        <w:t>未发现违法违纪问题</w:t>
      </w:r>
      <w:r>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rPr>
        <w:t>。</w:t>
      </w:r>
    </w:p>
    <w:p w14:paraId="3110B10B">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rPr>
        <w:t>研究制定了《横栏公安分局财务管理规定（试行）》，进一步规范了乘坐交通工具标准，对因工作需要</w:t>
      </w:r>
      <w:r>
        <w:rPr>
          <w:rFonts w:hint="eastAsia" w:ascii="仿宋_GB2312" w:hAnsi="仿宋_GB2312" w:eastAsia="仿宋_GB2312" w:cs="仿宋_GB2312"/>
          <w:color w:val="auto"/>
          <w:kern w:val="0"/>
          <w:sz w:val="32"/>
          <w:szCs w:val="32"/>
          <w:lang w:val="en-US" w:eastAsia="zh-CN" w:bidi="ar"/>
        </w:rPr>
        <w:t>乘坐火车、高铁、动车的，报销按二等座标准执行</w:t>
      </w:r>
      <w:r>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rPr>
        <w:t>。</w:t>
      </w:r>
    </w:p>
    <w:p w14:paraId="37A88BD4">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rPr>
        <w:t>进一步规范差旅费报销机制，差旅费报销按照“专款进专户”原则，直接转账至申请人个人账户。</w:t>
      </w:r>
    </w:p>
    <w:p w14:paraId="508DC192">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default" w:ascii="Calibri" w:hAnsi="Calibri" w:cs="Calibri"/>
          <w:b/>
          <w:bCs/>
          <w:color w:val="auto"/>
          <w:sz w:val="32"/>
          <w:szCs w:val="32"/>
          <w:lang w:val="en-US" w:eastAsia="zh-CN"/>
        </w:rPr>
      </w:pP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rPr>
        <w:t>10</w:t>
      </w:r>
      <w:r>
        <w:rPr>
          <w:rFonts w:hint="default" w:ascii="仿宋_GB2312" w:hAnsi="仿宋_GB2312" w:eastAsia="仿宋_GB2312" w:cs="仿宋_GB2312"/>
          <w:b/>
          <w:bCs/>
          <w:i w:val="0"/>
          <w:caps w:val="0"/>
          <w:snapToGrid/>
          <w:color w:val="auto"/>
          <w:spacing w:val="0"/>
          <w:kern w:val="0"/>
          <w:sz w:val="32"/>
          <w:szCs w:val="32"/>
          <w:shd w:val="clear" w:color="auto" w:fill="auto"/>
          <w:lang w:val="en-US" w:eastAsia="zh-CN"/>
        </w:rPr>
        <w:t>.</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严格遵守举报奖励工作有关保密规定</w:t>
      </w:r>
    </w:p>
    <w:p w14:paraId="350224CD">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（38）进一步提升举报奖励工作保密规范化水平</w:t>
      </w:r>
    </w:p>
    <w:p w14:paraId="22942029">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召开保密教育专题会议和保密工作部署会议，对《公安机关办理刑事案件程序规定》及上级关于反走私举报奖励有关文件精神进行学习，提高办案人员的程序意识和保密意识。</w:t>
      </w:r>
    </w:p>
    <w:p w14:paraId="29D97CD1">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排查近3年以来相关举报奖励记账凭证共44份，未发现泄露举报人个人信息问题。</w:t>
      </w:r>
    </w:p>
    <w:p w14:paraId="5F0005BD">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压实内部审核责任，根据《横栏公安分局财务管理规定(试行)》对22份报销财务凭证从严审核，对报销事项、人员、金额、佐证材料等进行核查，确保报销手续完备且不存在涉密风险。</w:t>
      </w:r>
    </w:p>
    <w:p w14:paraId="5EE5FEE2">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11.强化公务用车规范管理，开展风险问题隐患专项排查整治</w:t>
      </w:r>
    </w:p>
    <w:p w14:paraId="459F4909">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（39）</w:t>
      </w:r>
      <w:r>
        <w:rPr>
          <w:rFonts w:hint="eastAsia" w:ascii="仿宋_GB2312" w:hAnsi="仿宋_GB2312" w:eastAsia="仿宋_GB2312" w:cs="仿宋_GB2312"/>
          <w:b/>
          <w:bCs/>
          <w:i w:val="0"/>
          <w:iCs w:val="0"/>
          <w:caps w:val="0"/>
          <w:color w:val="auto"/>
          <w:spacing w:val="0"/>
          <w:sz w:val="32"/>
          <w:szCs w:val="32"/>
          <w:shd w:val="clear" w:fill="FFFFFF"/>
        </w:rPr>
        <w:t>推进公务用车标准化管理</w:t>
      </w:r>
      <w:r>
        <w:rPr>
          <w:rFonts w:hint="eastAsia" w:ascii="仿宋_GB2312" w:hAnsi="仿宋_GB2312" w:eastAsia="仿宋_GB2312" w:cs="仿宋_GB2312"/>
          <w:b/>
          <w:bCs/>
          <w:i w:val="0"/>
          <w:iCs w:val="0"/>
          <w:caps w:val="0"/>
          <w:color w:val="auto"/>
          <w:spacing w:val="0"/>
          <w:sz w:val="32"/>
          <w:szCs w:val="32"/>
          <w:shd w:val="clear" w:fill="FFFFFF"/>
          <w:lang w:eastAsia="zh-CN"/>
        </w:rPr>
        <w:t>，健全“</w:t>
      </w:r>
      <w:r>
        <w:rPr>
          <w:rFonts w:hint="eastAsia" w:ascii="仿宋_GB2312" w:hAnsi="仿宋_GB2312" w:eastAsia="仿宋_GB2312" w:cs="仿宋_GB2312"/>
          <w:b/>
          <w:bCs/>
          <w:i w:val="0"/>
          <w:iCs w:val="0"/>
          <w:caps w:val="0"/>
          <w:color w:val="auto"/>
          <w:spacing w:val="0"/>
          <w:sz w:val="32"/>
          <w:szCs w:val="32"/>
          <w:shd w:val="clear" w:fill="FFFFFF"/>
        </w:rPr>
        <w:t>三阶审批制</w:t>
      </w:r>
      <w:r>
        <w:rPr>
          <w:rFonts w:hint="eastAsia" w:ascii="仿宋_GB2312" w:hAnsi="仿宋_GB2312" w:eastAsia="仿宋_GB2312" w:cs="仿宋_GB2312"/>
          <w:b/>
          <w:bCs/>
          <w:i w:val="0"/>
          <w:iCs w:val="0"/>
          <w:caps w:val="0"/>
          <w:color w:val="auto"/>
          <w:spacing w:val="0"/>
          <w:sz w:val="32"/>
          <w:szCs w:val="32"/>
          <w:shd w:val="clear" w:fill="FFFFFF"/>
          <w:lang w:eastAsia="zh-CN"/>
        </w:rPr>
        <w:t>”</w:t>
      </w:r>
      <w:r>
        <w:rPr>
          <w:rFonts w:hint="eastAsia" w:ascii="仿宋_GB2312" w:hAnsi="仿宋_GB2312" w:eastAsia="仿宋_GB2312" w:cs="仿宋_GB2312"/>
          <w:b/>
          <w:bCs/>
          <w:i w:val="0"/>
          <w:iCs w:val="0"/>
          <w:caps w:val="0"/>
          <w:color w:val="auto"/>
          <w:spacing w:val="0"/>
          <w:sz w:val="32"/>
          <w:szCs w:val="32"/>
          <w:shd w:val="clear" w:fill="FFFFFF"/>
        </w:rPr>
        <w:t>严控大额支出，配套建立</w:t>
      </w:r>
      <w:r>
        <w:rPr>
          <w:rFonts w:hint="eastAsia" w:ascii="仿宋_GB2312" w:hAnsi="仿宋_GB2312" w:eastAsia="仿宋_GB2312" w:cs="仿宋_GB2312"/>
          <w:b/>
          <w:bCs/>
          <w:i w:val="0"/>
          <w:iCs w:val="0"/>
          <w:caps w:val="0"/>
          <w:color w:val="auto"/>
          <w:spacing w:val="0"/>
          <w:sz w:val="32"/>
          <w:szCs w:val="32"/>
          <w:shd w:val="clear" w:fill="FFFFFF"/>
          <w:lang w:val="en-US" w:eastAsia="zh-CN"/>
        </w:rPr>
        <w:t>“</w:t>
      </w:r>
      <w:r>
        <w:rPr>
          <w:rFonts w:hint="eastAsia" w:ascii="仿宋_GB2312" w:hAnsi="仿宋_GB2312" w:eastAsia="仿宋_GB2312" w:cs="仿宋_GB2312"/>
          <w:b/>
          <w:bCs/>
          <w:i w:val="0"/>
          <w:iCs w:val="0"/>
          <w:caps w:val="0"/>
          <w:color w:val="auto"/>
          <w:spacing w:val="0"/>
          <w:sz w:val="32"/>
          <w:szCs w:val="32"/>
          <w:shd w:val="clear" w:fill="FFFFFF"/>
        </w:rPr>
        <w:t>用车登记-维修申报-费用核销</w:t>
      </w:r>
      <w:r>
        <w:rPr>
          <w:rFonts w:hint="default" w:ascii="仿宋_GB2312" w:hAnsi="仿宋_GB2312" w:eastAsia="仿宋_GB2312" w:cs="仿宋_GB2312"/>
          <w:b/>
          <w:bCs/>
          <w:i w:val="0"/>
          <w:iCs w:val="0"/>
          <w:caps w:val="0"/>
          <w:color w:val="auto"/>
          <w:spacing w:val="0"/>
          <w:sz w:val="32"/>
          <w:szCs w:val="32"/>
          <w:shd w:val="clear" w:fill="FFFFFF"/>
          <w:lang w:val="en-US" w:eastAsia="zh-CN"/>
        </w:rPr>
        <w:t>”</w:t>
      </w:r>
      <w:r>
        <w:rPr>
          <w:rFonts w:hint="eastAsia" w:ascii="仿宋_GB2312" w:hAnsi="仿宋_GB2312" w:eastAsia="仿宋_GB2312" w:cs="仿宋_GB2312"/>
          <w:b/>
          <w:bCs/>
          <w:i w:val="0"/>
          <w:iCs w:val="0"/>
          <w:caps w:val="0"/>
          <w:color w:val="auto"/>
          <w:spacing w:val="0"/>
          <w:sz w:val="32"/>
          <w:szCs w:val="32"/>
          <w:shd w:val="clear" w:fill="FFFFFF"/>
        </w:rPr>
        <w:t>全链条监管流程，实现审批程序规范化、过程留痕可溯化、制度约束长效化</w:t>
      </w:r>
    </w:p>
    <w:p w14:paraId="68D52F7C">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开展公务用车管理风险问题隐患专项排查整治工作，对4名相关责任人进行了提醒谈话，并补充了情况说明。</w:t>
      </w:r>
    </w:p>
    <w:p w14:paraId="48CD1596">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每月对各配车部门公务用车使用登记本进行检查，发现问题已全部立行立改。</w:t>
      </w:r>
    </w:p>
    <w:p w14:paraId="1605EB38">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召开分局财务管理工作会议，强调要强化统筹管理，尤其在修缮、用车等方面，严格执行先审批后实施机制；分局召开公务用车规范管理工作推进会议，就进一步从严推进公务用车管理工作作出部署，强调要严格执行公务用车使用登记制度，做到派车有依据、行车有痕迹、出车有目的地。</w:t>
      </w:r>
    </w:p>
    <w:p w14:paraId="7D2C2E0E">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四是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强化车</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辆维修事项事前审批管理，研究制定了</w:t>
      </w:r>
      <w:r>
        <w:rPr>
          <w:rFonts w:hint="eastAsia" w:ascii="仿宋_GB2312" w:hAnsi="仿宋_GB2312" w:eastAsia="仿宋_GB2312" w:cs="仿宋_GB2312"/>
          <w:b w:val="0"/>
          <w:bCs w:val="0"/>
          <w:i w:val="0"/>
          <w:iCs w:val="0"/>
          <w:caps w:val="0"/>
          <w:color w:val="auto"/>
          <w:spacing w:val="0"/>
          <w:kern w:val="0"/>
          <w:sz w:val="32"/>
          <w:szCs w:val="32"/>
          <w:shd w:val="clear" w:color="auto" w:fill="auto"/>
          <w:lang w:val="en-US" w:eastAsia="zh-CN"/>
        </w:rPr>
        <w:t>《横栏公安分局财务管理规定（试行）》，规范了经费开支</w:t>
      </w:r>
      <w:r>
        <w:rPr>
          <w:rFonts w:hint="eastAsia" w:ascii="仿宋_GB2312" w:hAnsi="仿宋_GB2312" w:eastAsia="仿宋_GB2312" w:cs="仿宋_GB2312"/>
          <w:color w:val="auto"/>
          <w:kern w:val="0"/>
          <w:sz w:val="32"/>
          <w:szCs w:val="32"/>
          <w:highlight w:val="none"/>
          <w:lang w:val="en-US" w:eastAsia="zh-CN" w:bidi="ar"/>
        </w:rPr>
        <w:t>审批程序，所有超过5000元支出，需经部门一把手、部门分管局领导、财务分管局领导审批，并报分局党委会研究同意后再组织落实。</w:t>
      </w:r>
    </w:p>
    <w:p w14:paraId="4D6FB5D9">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color w:val="auto"/>
          <w:highlight w:val="none"/>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12.强化资产管理意识，提升资产管理水平</w:t>
      </w:r>
    </w:p>
    <w:p w14:paraId="00D2D777">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（40）</w:t>
      </w:r>
      <w:r>
        <w:rPr>
          <w:rFonts w:hint="eastAsia" w:ascii="仿宋_GB2312" w:hAnsi="仿宋_GB2312" w:eastAsia="仿宋_GB2312" w:cs="仿宋_GB2312"/>
          <w:b/>
          <w:bCs/>
          <w:i w:val="0"/>
          <w:iCs w:val="0"/>
          <w:caps w:val="0"/>
          <w:color w:val="auto"/>
          <w:spacing w:val="0"/>
          <w:sz w:val="32"/>
          <w:szCs w:val="32"/>
          <w:shd w:val="clear" w:fill="FFFFFF"/>
        </w:rPr>
        <w:t>聚焦</w:t>
      </w:r>
      <w:r>
        <w:rPr>
          <w:rFonts w:hint="eastAsia" w:ascii="仿宋_GB2312" w:hAnsi="仿宋_GB2312" w:eastAsia="仿宋_GB2312" w:cs="仿宋_GB2312"/>
          <w:b/>
          <w:bCs/>
          <w:i w:val="0"/>
          <w:iCs w:val="0"/>
          <w:caps w:val="0"/>
          <w:color w:val="auto"/>
          <w:spacing w:val="0"/>
          <w:sz w:val="32"/>
          <w:szCs w:val="32"/>
          <w:shd w:val="clear" w:fill="FFFFFF"/>
          <w:lang w:eastAsia="zh-CN"/>
        </w:rPr>
        <w:t>固定</w:t>
      </w:r>
      <w:r>
        <w:rPr>
          <w:rFonts w:hint="eastAsia" w:ascii="仿宋_GB2312" w:hAnsi="仿宋_GB2312" w:eastAsia="仿宋_GB2312" w:cs="仿宋_GB2312"/>
          <w:b/>
          <w:bCs/>
          <w:i w:val="0"/>
          <w:iCs w:val="0"/>
          <w:caps w:val="0"/>
          <w:color w:val="auto"/>
          <w:spacing w:val="0"/>
          <w:sz w:val="32"/>
          <w:szCs w:val="32"/>
          <w:shd w:val="clear" w:fill="FFFFFF"/>
        </w:rPr>
        <w:t>资产管理</w:t>
      </w:r>
      <w:r>
        <w:rPr>
          <w:rFonts w:hint="eastAsia" w:ascii="仿宋_GB2312" w:hAnsi="仿宋_GB2312" w:eastAsia="仿宋_GB2312" w:cs="仿宋_GB2312"/>
          <w:b/>
          <w:bCs/>
          <w:i w:val="0"/>
          <w:iCs w:val="0"/>
          <w:caps w:val="0"/>
          <w:color w:val="auto"/>
          <w:spacing w:val="0"/>
          <w:sz w:val="32"/>
          <w:szCs w:val="32"/>
          <w:shd w:val="clear" w:fill="FFFFFF"/>
          <w:lang w:eastAsia="zh-CN"/>
        </w:rPr>
        <w:t>风险隐患</w:t>
      </w:r>
      <w:r>
        <w:rPr>
          <w:rFonts w:hint="eastAsia" w:ascii="仿宋_GB2312" w:hAnsi="仿宋_GB2312" w:eastAsia="仿宋_GB2312" w:cs="仿宋_GB2312"/>
          <w:b/>
          <w:bCs/>
          <w:i w:val="0"/>
          <w:iCs w:val="0"/>
          <w:caps w:val="0"/>
          <w:color w:val="auto"/>
          <w:spacing w:val="0"/>
          <w:sz w:val="32"/>
          <w:szCs w:val="32"/>
          <w:shd w:val="clear" w:fill="FFFFFF"/>
        </w:rPr>
        <w:t>，开展</w:t>
      </w:r>
      <w:r>
        <w:rPr>
          <w:rFonts w:hint="eastAsia" w:ascii="仿宋_GB2312" w:hAnsi="仿宋_GB2312" w:eastAsia="仿宋_GB2312" w:cs="仿宋_GB2312"/>
          <w:b/>
          <w:bCs/>
          <w:i w:val="0"/>
          <w:iCs w:val="0"/>
          <w:caps w:val="0"/>
          <w:color w:val="auto"/>
          <w:spacing w:val="0"/>
          <w:sz w:val="32"/>
          <w:szCs w:val="32"/>
          <w:shd w:val="clear" w:fill="FFFFFF"/>
          <w:lang w:eastAsia="zh-CN"/>
        </w:rPr>
        <w:t>“</w:t>
      </w:r>
      <w:r>
        <w:rPr>
          <w:rFonts w:hint="eastAsia" w:ascii="仿宋_GB2312" w:hAnsi="仿宋_GB2312" w:eastAsia="仿宋_GB2312" w:cs="仿宋_GB2312"/>
          <w:b/>
          <w:bCs/>
          <w:i w:val="0"/>
          <w:iCs w:val="0"/>
          <w:caps w:val="0"/>
          <w:color w:val="auto"/>
          <w:spacing w:val="0"/>
          <w:sz w:val="32"/>
          <w:szCs w:val="32"/>
          <w:shd w:val="clear" w:fill="FFFFFF"/>
        </w:rPr>
        <w:t>确权</w:t>
      </w:r>
      <w:r>
        <w:rPr>
          <w:rFonts w:hint="eastAsia" w:ascii="仿宋_GB2312" w:hAnsi="仿宋_GB2312" w:eastAsia="仿宋_GB2312" w:cs="仿宋_GB2312"/>
          <w:b/>
          <w:bCs/>
          <w:i w:val="0"/>
          <w:iCs w:val="0"/>
          <w:caps w:val="0"/>
          <w:color w:val="auto"/>
          <w:spacing w:val="0"/>
          <w:sz w:val="32"/>
          <w:szCs w:val="32"/>
          <w:shd w:val="clear" w:fill="FFFFFF"/>
          <w:lang w:eastAsia="zh-CN"/>
        </w:rPr>
        <w:t>—</w:t>
      </w:r>
      <w:r>
        <w:rPr>
          <w:rFonts w:hint="eastAsia" w:ascii="仿宋_GB2312" w:hAnsi="仿宋_GB2312" w:eastAsia="仿宋_GB2312" w:cs="仿宋_GB2312"/>
          <w:b/>
          <w:bCs/>
          <w:i w:val="0"/>
          <w:iCs w:val="0"/>
          <w:caps w:val="0"/>
          <w:color w:val="auto"/>
          <w:spacing w:val="0"/>
          <w:sz w:val="32"/>
          <w:szCs w:val="32"/>
          <w:shd w:val="clear" w:fill="FFFFFF"/>
        </w:rPr>
        <w:t>减册</w:t>
      </w:r>
      <w:r>
        <w:rPr>
          <w:rFonts w:hint="eastAsia" w:ascii="仿宋_GB2312" w:hAnsi="仿宋_GB2312" w:eastAsia="仿宋_GB2312" w:cs="仿宋_GB2312"/>
          <w:b/>
          <w:bCs/>
          <w:i w:val="0"/>
          <w:iCs w:val="0"/>
          <w:caps w:val="0"/>
          <w:color w:val="auto"/>
          <w:spacing w:val="0"/>
          <w:sz w:val="32"/>
          <w:szCs w:val="32"/>
          <w:shd w:val="clear" w:fill="FFFFFF"/>
          <w:lang w:eastAsia="zh-CN"/>
        </w:rPr>
        <w:t>—</w:t>
      </w:r>
      <w:r>
        <w:rPr>
          <w:rFonts w:hint="eastAsia" w:ascii="仿宋_GB2312" w:hAnsi="仿宋_GB2312" w:eastAsia="仿宋_GB2312" w:cs="仿宋_GB2312"/>
          <w:b/>
          <w:bCs/>
          <w:i w:val="0"/>
          <w:iCs w:val="0"/>
          <w:caps w:val="0"/>
          <w:color w:val="auto"/>
          <w:spacing w:val="0"/>
          <w:sz w:val="32"/>
          <w:szCs w:val="32"/>
          <w:shd w:val="clear" w:fill="FFFFFF"/>
        </w:rPr>
        <w:t>报废</w:t>
      </w:r>
      <w:r>
        <w:rPr>
          <w:rFonts w:hint="eastAsia" w:ascii="仿宋_GB2312" w:hAnsi="仿宋_GB2312" w:eastAsia="仿宋_GB2312" w:cs="仿宋_GB2312"/>
          <w:b/>
          <w:bCs/>
          <w:i w:val="0"/>
          <w:iCs w:val="0"/>
          <w:caps w:val="0"/>
          <w:color w:val="auto"/>
          <w:spacing w:val="0"/>
          <w:sz w:val="32"/>
          <w:szCs w:val="32"/>
          <w:shd w:val="clear" w:fill="FFFFFF"/>
          <w:lang w:eastAsia="zh-CN"/>
        </w:rPr>
        <w:t>”</w:t>
      </w:r>
      <w:r>
        <w:rPr>
          <w:rFonts w:hint="eastAsia" w:ascii="仿宋_GB2312" w:hAnsi="仿宋_GB2312" w:eastAsia="仿宋_GB2312" w:cs="仿宋_GB2312"/>
          <w:b/>
          <w:bCs/>
          <w:i w:val="0"/>
          <w:iCs w:val="0"/>
          <w:caps w:val="0"/>
          <w:color w:val="auto"/>
          <w:spacing w:val="0"/>
          <w:sz w:val="32"/>
          <w:szCs w:val="32"/>
          <w:shd w:val="clear" w:fill="FFFFFF"/>
        </w:rPr>
        <w:t>专项整治，通过约谈责任人溯源整改、组织资产数据动态核查，系统提升固定资产登记准确性、处置时效性与权属清晰度</w:t>
      </w:r>
    </w:p>
    <w:p w14:paraId="1D7536B6">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一是</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rPr>
        <w:t>开展</w:t>
      </w:r>
      <w:r>
        <w:rPr>
          <w:rFonts w:hint="eastAsia" w:ascii="仿宋_GB2312" w:hAnsi="仿宋_GB2312" w:eastAsia="仿宋_GB2312" w:cs="仿宋_GB2312"/>
          <w:b w:val="0"/>
          <w:bCs w:val="0"/>
          <w:i w:val="0"/>
          <w:iCs w:val="0"/>
          <w:caps w:val="0"/>
          <w:color w:val="auto"/>
          <w:spacing w:val="0"/>
          <w:kern w:val="0"/>
          <w:sz w:val="32"/>
          <w:szCs w:val="32"/>
          <w:highlight w:val="none"/>
          <w:shd w:val="clear" w:color="auto" w:fill="auto"/>
          <w:lang w:eastAsia="zh-CN"/>
        </w:rPr>
        <w:t>固</w:t>
      </w:r>
      <w:r>
        <w:rPr>
          <w:rFonts w:hint="eastAsia" w:ascii="仿宋_GB2312" w:hAnsi="仿宋_GB2312" w:eastAsia="仿宋_GB2312" w:cs="仿宋_GB2312"/>
          <w:b w:val="0"/>
          <w:bCs w:val="0"/>
          <w:i w:val="0"/>
          <w:iCs w:val="0"/>
          <w:caps w:val="0"/>
          <w:color w:val="auto"/>
          <w:spacing w:val="0"/>
          <w:kern w:val="0"/>
          <w:sz w:val="32"/>
          <w:szCs w:val="32"/>
          <w:shd w:val="clear" w:color="auto" w:fill="auto"/>
          <w:lang w:eastAsia="zh-CN"/>
        </w:rPr>
        <w:t>定资产“</w:t>
      </w:r>
      <w:r>
        <w:rPr>
          <w:rFonts w:hint="eastAsia" w:ascii="仿宋_GB2312" w:hAnsi="仿宋_GB2312" w:eastAsia="仿宋_GB2312" w:cs="仿宋_GB2312"/>
          <w:b w:val="0"/>
          <w:bCs w:val="0"/>
          <w:i w:val="0"/>
          <w:iCs w:val="0"/>
          <w:caps w:val="0"/>
          <w:color w:val="auto"/>
          <w:spacing w:val="0"/>
          <w:kern w:val="0"/>
          <w:sz w:val="32"/>
          <w:szCs w:val="32"/>
          <w:shd w:val="clear" w:color="auto" w:fill="auto"/>
        </w:rPr>
        <w:t>确权</w:t>
      </w:r>
      <w:r>
        <w:rPr>
          <w:rFonts w:hint="eastAsia" w:ascii="仿宋_GB2312" w:hAnsi="仿宋_GB2312" w:eastAsia="仿宋_GB2312" w:cs="仿宋_GB2312"/>
          <w:b w:val="0"/>
          <w:bCs w:val="0"/>
          <w:i w:val="0"/>
          <w:iCs w:val="0"/>
          <w:caps w:val="0"/>
          <w:color w:val="auto"/>
          <w:spacing w:val="0"/>
          <w:kern w:val="0"/>
          <w:sz w:val="32"/>
          <w:szCs w:val="32"/>
          <w:shd w:val="clear" w:color="auto" w:fill="auto"/>
          <w:lang w:eastAsia="zh-CN"/>
        </w:rPr>
        <w:t>—</w:t>
      </w:r>
      <w:r>
        <w:rPr>
          <w:rFonts w:hint="eastAsia" w:ascii="仿宋_GB2312" w:hAnsi="仿宋_GB2312" w:eastAsia="仿宋_GB2312" w:cs="仿宋_GB2312"/>
          <w:b w:val="0"/>
          <w:bCs w:val="0"/>
          <w:i w:val="0"/>
          <w:iCs w:val="0"/>
          <w:caps w:val="0"/>
          <w:color w:val="auto"/>
          <w:spacing w:val="0"/>
          <w:kern w:val="0"/>
          <w:sz w:val="32"/>
          <w:szCs w:val="32"/>
          <w:shd w:val="clear" w:color="auto" w:fill="auto"/>
        </w:rPr>
        <w:t>减册</w:t>
      </w:r>
      <w:r>
        <w:rPr>
          <w:rFonts w:hint="eastAsia" w:ascii="仿宋_GB2312" w:hAnsi="仿宋_GB2312" w:eastAsia="仿宋_GB2312" w:cs="仿宋_GB2312"/>
          <w:b w:val="0"/>
          <w:bCs w:val="0"/>
          <w:i w:val="0"/>
          <w:iCs w:val="0"/>
          <w:caps w:val="0"/>
          <w:color w:val="auto"/>
          <w:spacing w:val="0"/>
          <w:kern w:val="0"/>
          <w:sz w:val="32"/>
          <w:szCs w:val="32"/>
          <w:shd w:val="clear" w:color="auto" w:fill="auto"/>
          <w:lang w:eastAsia="zh-CN"/>
        </w:rPr>
        <w:t>—</w:t>
      </w:r>
      <w:r>
        <w:rPr>
          <w:rFonts w:hint="eastAsia" w:ascii="仿宋_GB2312" w:hAnsi="仿宋_GB2312" w:eastAsia="仿宋_GB2312" w:cs="仿宋_GB2312"/>
          <w:b w:val="0"/>
          <w:bCs w:val="0"/>
          <w:i w:val="0"/>
          <w:iCs w:val="0"/>
          <w:caps w:val="0"/>
          <w:color w:val="auto"/>
          <w:spacing w:val="0"/>
          <w:kern w:val="0"/>
          <w:sz w:val="32"/>
          <w:szCs w:val="32"/>
          <w:shd w:val="clear" w:color="auto" w:fill="auto"/>
        </w:rPr>
        <w:t>报废</w:t>
      </w:r>
      <w:r>
        <w:rPr>
          <w:rFonts w:hint="eastAsia" w:ascii="仿宋_GB2312" w:hAnsi="仿宋_GB2312" w:eastAsia="仿宋_GB2312" w:cs="仿宋_GB2312"/>
          <w:b w:val="0"/>
          <w:bCs w:val="0"/>
          <w:i w:val="0"/>
          <w:iCs w:val="0"/>
          <w:caps w:val="0"/>
          <w:color w:val="auto"/>
          <w:spacing w:val="0"/>
          <w:kern w:val="0"/>
          <w:sz w:val="32"/>
          <w:szCs w:val="32"/>
          <w:shd w:val="clear" w:color="auto" w:fill="auto"/>
          <w:lang w:eastAsia="zh-CN"/>
        </w:rPr>
        <w:t>”</w:t>
      </w:r>
      <w:r>
        <w:rPr>
          <w:rFonts w:hint="eastAsia" w:ascii="仿宋_GB2312" w:hAnsi="仿宋_GB2312" w:eastAsia="仿宋_GB2312" w:cs="仿宋_GB2312"/>
          <w:b w:val="0"/>
          <w:bCs w:val="0"/>
          <w:i w:val="0"/>
          <w:iCs w:val="0"/>
          <w:caps w:val="0"/>
          <w:color w:val="auto"/>
          <w:spacing w:val="0"/>
          <w:kern w:val="0"/>
          <w:sz w:val="32"/>
          <w:szCs w:val="32"/>
          <w:shd w:val="clear" w:color="auto" w:fill="auto"/>
        </w:rPr>
        <w:t>专项</w:t>
      </w:r>
      <w:r>
        <w:rPr>
          <w:rFonts w:hint="eastAsia" w:ascii="仿宋_GB2312" w:hAnsi="仿宋_GB2312" w:eastAsia="仿宋_GB2312" w:cs="仿宋_GB2312"/>
          <w:b w:val="0"/>
          <w:bCs w:val="0"/>
          <w:i w:val="0"/>
          <w:iCs w:val="0"/>
          <w:caps w:val="0"/>
          <w:color w:val="auto"/>
          <w:spacing w:val="0"/>
          <w:kern w:val="0"/>
          <w:sz w:val="32"/>
          <w:szCs w:val="32"/>
          <w:shd w:val="clear" w:color="auto" w:fill="auto"/>
          <w:lang w:eastAsia="zh-CN"/>
        </w:rPr>
        <w:t>排查整治工作，</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对6名相关责任人进行了提醒谈话。</w:t>
      </w:r>
    </w:p>
    <w:p w14:paraId="3A1A1CA7">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在固定资产系统将5件固定资产完成了录入，将3件固定资产完成了减册；对1件固定资产完成了报废手续；对4件固定资产完成了办理所有权和使用权一致手续审批。</w:t>
      </w:r>
    </w:p>
    <w:p w14:paraId="69559B2B">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制定下发《关于做好固定资产报废工作的通知》，并举一反三开展固定资产问题排查，发现问题已全部立行立改。</w:t>
      </w:r>
    </w:p>
    <w:p w14:paraId="312C19B1">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四是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进一步完善固定资产定期盘点机制，由分局装财部门每月开展一次固定资产盘点，并经层级审核确保固定资产盘点的准确性、规范性和权威性，确保固定资产底数清、情况明、动态准、管理严。</w:t>
      </w:r>
    </w:p>
    <w:p w14:paraId="2189088A">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13.全面强化公务车辆加油卡的管理</w:t>
      </w:r>
    </w:p>
    <w:p w14:paraId="1151006B">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（41）</w:t>
      </w:r>
      <w:r>
        <w:rPr>
          <w:rFonts w:hint="eastAsia" w:ascii="仿宋_GB2312" w:hAnsi="仿宋_GB2312" w:eastAsia="仿宋_GB2312" w:cs="仿宋_GB2312"/>
          <w:b/>
          <w:bCs/>
          <w:i w:val="0"/>
          <w:iCs w:val="0"/>
          <w:caps w:val="0"/>
          <w:color w:val="auto"/>
          <w:spacing w:val="0"/>
          <w:sz w:val="32"/>
          <w:szCs w:val="32"/>
          <w:highlight w:val="none"/>
          <w:shd w:val="clear" w:fill="FFFFFF"/>
        </w:rPr>
        <w:t>聚焦油卡管理效能短板，通过约谈涉事人员溯源整改、组织闲置</w:t>
      </w:r>
      <w:r>
        <w:rPr>
          <w:rFonts w:hint="eastAsia" w:ascii="仿宋_GB2312" w:hAnsi="仿宋_GB2312" w:eastAsia="仿宋_GB2312" w:cs="仿宋_GB2312"/>
          <w:b/>
          <w:bCs/>
          <w:i w:val="0"/>
          <w:iCs w:val="0"/>
          <w:caps w:val="0"/>
          <w:color w:val="auto"/>
          <w:spacing w:val="0"/>
          <w:sz w:val="32"/>
          <w:szCs w:val="32"/>
          <w:highlight w:val="none"/>
          <w:shd w:val="clear" w:fill="FFFFFF"/>
          <w:lang w:eastAsia="zh-CN"/>
        </w:rPr>
        <w:t>油卡</w:t>
      </w:r>
      <w:r>
        <w:rPr>
          <w:rFonts w:hint="eastAsia" w:ascii="仿宋_GB2312" w:hAnsi="仿宋_GB2312" w:eastAsia="仿宋_GB2312" w:cs="仿宋_GB2312"/>
          <w:b/>
          <w:bCs/>
          <w:i w:val="0"/>
          <w:iCs w:val="0"/>
          <w:caps w:val="0"/>
          <w:color w:val="auto"/>
          <w:spacing w:val="0"/>
          <w:sz w:val="32"/>
          <w:szCs w:val="32"/>
          <w:highlight w:val="none"/>
          <w:shd w:val="clear" w:fill="FFFFFF"/>
        </w:rPr>
        <w:t>全面排查、建立装财部门主责督导机制，系统提升加油卡</w:t>
      </w:r>
      <w:r>
        <w:rPr>
          <w:rFonts w:hint="eastAsia" w:ascii="仿宋_GB2312" w:hAnsi="仿宋_GB2312" w:eastAsia="仿宋_GB2312" w:cs="仿宋_GB2312"/>
          <w:b/>
          <w:bCs/>
          <w:i w:val="0"/>
          <w:iCs w:val="0"/>
          <w:caps w:val="0"/>
          <w:color w:val="auto"/>
          <w:spacing w:val="0"/>
          <w:sz w:val="32"/>
          <w:szCs w:val="32"/>
          <w:highlight w:val="none"/>
          <w:shd w:val="clear" w:fill="FFFFFF"/>
          <w:lang w:eastAsia="zh-CN"/>
        </w:rPr>
        <w:t>管理使用</w:t>
      </w:r>
      <w:r>
        <w:rPr>
          <w:rFonts w:hint="eastAsia" w:ascii="仿宋_GB2312" w:hAnsi="仿宋_GB2312" w:eastAsia="仿宋_GB2312" w:cs="仿宋_GB2312"/>
          <w:b/>
          <w:bCs/>
          <w:i w:val="0"/>
          <w:iCs w:val="0"/>
          <w:caps w:val="0"/>
          <w:color w:val="auto"/>
          <w:spacing w:val="0"/>
          <w:sz w:val="32"/>
          <w:szCs w:val="32"/>
          <w:highlight w:val="none"/>
          <w:shd w:val="clear" w:fill="FFFFFF"/>
        </w:rPr>
        <w:t>规范性</w:t>
      </w:r>
    </w:p>
    <w:p w14:paraId="28BD0909">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开展闲置油卡专项排查整治，对相关责任人进行了提醒谈话。</w:t>
      </w:r>
    </w:p>
    <w:p w14:paraId="0A321196">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已对相关加油卡完成注销手续，卡内余额均已转移至主卡中。</w:t>
      </w:r>
    </w:p>
    <w:p w14:paraId="46C1D205">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进一步完善了加油卡管理使用监督机制，由分局装财部门每月对分局全量加油卡使用情况进行检查，杜绝违规行为。</w:t>
      </w:r>
    </w:p>
    <w:p w14:paraId="5E402037">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四是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进一步细化完善了报废车辆审查机制，申请报废车辆经分局党委会审议通过后，需及时将加油卡注销，并附注销回执和分局党委会议纪要方可走后续报废流程。</w:t>
      </w:r>
    </w:p>
    <w:p w14:paraId="36F7E666">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default"/>
          <w:b/>
          <w:bCs/>
          <w:color w:val="auto"/>
          <w:sz w:val="32"/>
          <w:szCs w:val="32"/>
          <w:lang w:val="en-US" w:eastAsia="zh-CN"/>
        </w:rPr>
      </w:pP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rPr>
        <w:t>14</w:t>
      </w:r>
      <w:r>
        <w:rPr>
          <w:rFonts w:hint="default" w:ascii="仿宋_GB2312" w:hAnsi="仿宋_GB2312" w:eastAsia="仿宋_GB2312" w:cs="仿宋_GB2312"/>
          <w:b/>
          <w:bCs/>
          <w:i w:val="0"/>
          <w:caps w:val="0"/>
          <w:snapToGrid/>
          <w:color w:val="auto"/>
          <w:spacing w:val="0"/>
          <w:kern w:val="0"/>
          <w:sz w:val="32"/>
          <w:szCs w:val="32"/>
          <w:shd w:val="clear" w:color="auto" w:fill="auto"/>
          <w:lang w:val="en-US" w:eastAsia="zh-CN"/>
        </w:rPr>
        <w:t>.</w:t>
      </w: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rPr>
        <w:t>健全完善查扣物品</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管理制度机制</w:t>
      </w:r>
    </w:p>
    <w:p w14:paraId="79238514">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（42）规范抓好查扣物品后续跟进工作</w:t>
      </w:r>
    </w:p>
    <w:p w14:paraId="7DBBF3C2">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对查扣的无主汽油和船只进行了公告，汽油已移交第三方公司鉴定完毕。</w:t>
      </w:r>
    </w:p>
    <w:p w14:paraId="7E11119F">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经与镇相关部门沟通协调，已对无主船只拆解完毕。</w:t>
      </w:r>
    </w:p>
    <w:p w14:paraId="248095CE">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召开了涉案财物管理工作推进会，对相关责任民警进行了提醒谈话，并印发《中山市公安局横栏分局涉案财物管理规定》，严格规范涉案财物移交程序，制定责任清单，压实工作责任。</w:t>
      </w:r>
    </w:p>
    <w:p w14:paraId="4CC7BBED">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15.规范涉案人员随身财物管理</w:t>
      </w:r>
    </w:p>
    <w:p w14:paraId="54DC3A93">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（43）</w:t>
      </w:r>
      <w:r>
        <w:rPr>
          <w:rFonts w:hint="eastAsia" w:ascii="仿宋_GB2312" w:hAnsi="仿宋_GB2312" w:eastAsia="仿宋_GB2312" w:cs="仿宋_GB2312"/>
          <w:b/>
          <w:bCs/>
          <w:color w:val="auto"/>
          <w:sz w:val="32"/>
          <w:szCs w:val="32"/>
        </w:rPr>
        <w:t>聚焦</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涉案人员随身财物</w:t>
      </w:r>
      <w:r>
        <w:rPr>
          <w:rFonts w:hint="eastAsia" w:ascii="仿宋_GB2312" w:hAnsi="仿宋_GB2312" w:eastAsia="仿宋_GB2312" w:cs="仿宋_GB2312"/>
          <w:b/>
          <w:bCs/>
          <w:color w:val="auto"/>
          <w:sz w:val="32"/>
          <w:szCs w:val="32"/>
        </w:rPr>
        <w:t>管理效能提升，通过教育培训夯实责任意识、制度创新完善监督机制、分类处置实现精准管理，建立</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制度约束+动态处置+公示留痕</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工作模式，推动执法规范化建设提质增效</w:t>
      </w:r>
    </w:p>
    <w:p w14:paraId="56C1A740">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由分管局领导组织分局涉案财物管理员、各办案部门涉案财物保管员召开了涉案财物管理工作培训会，学习了上级关于代为保管涉案人员随身财物以及涉案财物管理等方面规定，提高民警对依法管理涉案财物重要性的认识。</w:t>
      </w:r>
    </w:p>
    <w:p w14:paraId="02D28060">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成立涉案财物工作领导小组，制定《中山市公安局横栏分局涉案财物管理规定》，将涉案财物管理工作纳入执法监督、执法质量考评和专项审计的范围，进一步规范涉案财物管理工作。</w:t>
      </w:r>
    </w:p>
    <w:p w14:paraId="18713914">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已发还随身物品560件，对无人认领的物品在政府网站进行了公告，待公告期满后将及时依法作出处理。</w:t>
      </w:r>
    </w:p>
    <w:p w14:paraId="072657C4">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0" w:firstLineChars="200"/>
        <w:jc w:val="both"/>
        <w:textAlignment w:val="auto"/>
        <w:rPr>
          <w:rFonts w:hint="eastAsia" w:ascii="楷体" w:hAnsi="楷体" w:eastAsia="楷体" w:cs="楷体"/>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（三）聚焦干部队伍建设和基层党建工作情况</w:t>
      </w:r>
    </w:p>
    <w:p w14:paraId="6606D0B2">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default"/>
          <w:b/>
          <w:bCs/>
          <w:color w:val="auto"/>
          <w:sz w:val="32"/>
          <w:szCs w:val="32"/>
          <w:lang w:val="en-US" w:eastAsia="zh-CN"/>
        </w:rPr>
      </w:pPr>
      <w:r>
        <w:rPr>
          <w:rFonts w:hint="default" w:ascii="仿宋_GB2312" w:hAnsi="仿宋_GB2312" w:eastAsia="仿宋_GB2312" w:cs="仿宋_GB2312"/>
          <w:b/>
          <w:bCs/>
          <w:i w:val="0"/>
          <w:caps w:val="0"/>
          <w:snapToGrid/>
          <w:color w:val="auto"/>
          <w:spacing w:val="0"/>
          <w:kern w:val="0"/>
          <w:sz w:val="32"/>
          <w:szCs w:val="32"/>
          <w:shd w:val="clear" w:color="auto" w:fill="auto"/>
          <w:lang w:val="en-US" w:eastAsia="zh-CN"/>
        </w:rPr>
        <w:t>1.</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严格执行“三重一大”事项集体决策制度</w:t>
      </w:r>
    </w:p>
    <w:p w14:paraId="48CBC6A0">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44）聚焦“三重一大”制度执行涉分局工会大额支出事项领域薄弱环节，通过学习教育纠偏、责任约谈警示、财务审核倒查三措并举，建立“决策留痕-用印验证-支出审核”管理闭环，推动集体决策制度从文件要求转化为操作规范</w:t>
      </w:r>
    </w:p>
    <w:p w14:paraId="40C00291">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召开党委（扩大）会议，重温学习了分局“三重一大”事项集体决策制度，纠正认识偏差。</w:t>
      </w:r>
    </w:p>
    <w:p w14:paraId="6A8B16F1">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对相关责任人开展提醒谈话，指出问题不足，要求其严格遵守分局“三重一大”事项集体决策制度，对于“各部门经费及分局公共部分经费开支超5000元”事项，经工会委员会集体决策同意开展后，呈分局党委会集体决策。</w:t>
      </w:r>
    </w:p>
    <w:p w14:paraId="5B9CD4B6">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压实内部审核责任。各部门经费及分局公共部分经费开支超5000元事项的报销单、付款单，对支出单据与分局党委会议纪要开展一致性审查，对会议纪要进行真实性审查等，以确保开支事项流程规范。</w:t>
      </w:r>
    </w:p>
    <w:p w14:paraId="5FD5162F">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default"/>
          <w:b/>
          <w:bCs/>
          <w:color w:val="auto"/>
          <w:sz w:val="32"/>
          <w:szCs w:val="32"/>
          <w:highlight w:val="none"/>
          <w:lang w:val="en-US" w:eastAsia="zh-CN"/>
        </w:rPr>
      </w:pPr>
      <w:r>
        <w:rPr>
          <w:rFonts w:hint="default" w:ascii="仿宋_GB2312" w:hAnsi="仿宋_GB2312" w:eastAsia="仿宋_GB2312" w:cs="仿宋_GB2312"/>
          <w:b/>
          <w:bCs/>
          <w:i w:val="0"/>
          <w:caps w:val="0"/>
          <w:snapToGrid/>
          <w:color w:val="auto"/>
          <w:spacing w:val="0"/>
          <w:kern w:val="0"/>
          <w:sz w:val="32"/>
          <w:szCs w:val="32"/>
          <w:highlight w:val="none"/>
          <w:shd w:val="clear" w:color="auto" w:fill="auto"/>
          <w:lang w:val="en-US" w:eastAsia="zh-CN"/>
        </w:rPr>
        <w:t>2</w:t>
      </w:r>
      <w:r>
        <w:rPr>
          <w:rFonts w:hint="eastAsia" w:ascii="仿宋_GB2312" w:hAnsi="仿宋_GB2312" w:eastAsia="仿宋_GB2312" w:cs="仿宋_GB2312"/>
          <w:b/>
          <w:bCs/>
          <w:i w:val="0"/>
          <w:caps w:val="0"/>
          <w:snapToGrid/>
          <w:color w:val="auto"/>
          <w:spacing w:val="0"/>
          <w:kern w:val="0"/>
          <w:sz w:val="32"/>
          <w:szCs w:val="32"/>
          <w:highlight w:val="none"/>
          <w:shd w:val="clear" w:color="auto" w:fill="auto"/>
          <w:lang w:val="en-US" w:eastAsia="zh-CN"/>
        </w:rPr>
        <w:t>.抓实</w:t>
      </w: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党支部学习教育管理</w:t>
      </w:r>
    </w:p>
    <w:p w14:paraId="3351E6F4">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（45）</w:t>
      </w:r>
      <w:r>
        <w:rPr>
          <w:rFonts w:hint="eastAsia" w:ascii="仿宋_GB2312" w:hAnsi="仿宋_GB2312" w:eastAsia="仿宋_GB2312" w:cs="仿宋_GB2312"/>
          <w:b/>
          <w:bCs/>
          <w:color w:val="auto"/>
          <w:sz w:val="32"/>
          <w:szCs w:val="32"/>
        </w:rPr>
        <w:t>系统性提升党建工作规范化水平</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以警示通报强化主体责任意识，</w:t>
      </w:r>
      <w:r>
        <w:rPr>
          <w:rFonts w:hint="eastAsia" w:ascii="仿宋_GB2312" w:hAnsi="仿宋_GB2312" w:eastAsia="仿宋_GB2312" w:cs="仿宋_GB2312"/>
          <w:b/>
          <w:bCs/>
          <w:color w:val="auto"/>
          <w:sz w:val="32"/>
          <w:szCs w:val="32"/>
          <w:lang w:eastAsia="zh-CN"/>
        </w:rPr>
        <w:t>印发</w:t>
      </w:r>
      <w:r>
        <w:rPr>
          <w:rFonts w:hint="eastAsia" w:ascii="仿宋_GB2312" w:hAnsi="仿宋_GB2312" w:eastAsia="仿宋_GB2312" w:cs="仿宋_GB2312"/>
          <w:b/>
          <w:bCs/>
          <w:color w:val="auto"/>
          <w:sz w:val="32"/>
          <w:szCs w:val="32"/>
        </w:rPr>
        <w:t>实操</w:t>
      </w:r>
      <w:r>
        <w:rPr>
          <w:rFonts w:hint="eastAsia" w:ascii="仿宋_GB2312" w:hAnsi="仿宋_GB2312" w:eastAsia="仿宋_GB2312" w:cs="仿宋_GB2312"/>
          <w:b/>
          <w:bCs/>
          <w:color w:val="auto"/>
          <w:sz w:val="32"/>
          <w:szCs w:val="32"/>
          <w:lang w:eastAsia="zh-CN"/>
        </w:rPr>
        <w:t>流程</w:t>
      </w:r>
      <w:r>
        <w:rPr>
          <w:rFonts w:hint="eastAsia" w:ascii="仿宋_GB2312" w:hAnsi="仿宋_GB2312" w:eastAsia="仿宋_GB2312" w:cs="仿宋_GB2312"/>
          <w:b/>
          <w:bCs/>
          <w:color w:val="auto"/>
          <w:sz w:val="32"/>
          <w:szCs w:val="32"/>
        </w:rPr>
        <w:t>细化</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三会一课</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标准流程，建立季度台账核验与问题动态纠偏机制，实现从制度宣贯到执行监督的全链条质效管控</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推动基层党组织建设提质增效</w:t>
      </w:r>
    </w:p>
    <w:p w14:paraId="2DC7B3FA">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组织召开党务工作培训会，会上对相关党支部责任人予以通报批评，并开展专门培训，分享实践中的典型经验做法，围绕进一步抓好党建工作作出具体部署和要求。</w:t>
      </w:r>
    </w:p>
    <w:p w14:paraId="32B6ED4F">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制定下发《关于落实巡察反馈问题清单涉党建工作问题整改的通知》和《组织生活制度实操流程》，督促各党支部严格规范开展“三会一课”。</w:t>
      </w:r>
    </w:p>
    <w:p w14:paraId="422AFA27">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建立每季度</w:t>
      </w:r>
      <w:bookmarkStart w:id="0" w:name="_GoBack"/>
      <w:bookmarkEnd w:id="0"/>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检查各党支部“三会一课”落实情况机制，每季度由政工监督室收集各党支部的《党支部工作手册》对各会议记录进行检查，发现问题及时纠正。已检查各党支部《党支部工作手册》内会议记录1轮次，发现问题并立行立改。</w:t>
      </w:r>
    </w:p>
    <w:p w14:paraId="74A4E31D">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（46）</w:t>
      </w:r>
      <w:r>
        <w:rPr>
          <w:rFonts w:hint="eastAsia" w:ascii="仿宋_GB2312" w:hAnsi="仿宋_GB2312" w:eastAsia="仿宋_GB2312" w:cs="仿宋_GB2312"/>
          <w:b/>
          <w:bCs/>
          <w:color w:val="auto"/>
          <w:sz w:val="32"/>
          <w:szCs w:val="32"/>
        </w:rPr>
        <w:t>实施</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三位一体</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党建提升行动，以观摩式</w:t>
      </w:r>
      <w:r>
        <w:rPr>
          <w:rFonts w:hint="eastAsia" w:ascii="仿宋_GB2312" w:hAnsi="仿宋_GB2312" w:eastAsia="仿宋_GB2312" w:cs="仿宋_GB2312"/>
          <w:b/>
          <w:bCs/>
          <w:color w:val="auto"/>
          <w:sz w:val="32"/>
          <w:szCs w:val="32"/>
          <w:lang w:eastAsia="zh-CN"/>
        </w:rPr>
        <w:t>主题</w:t>
      </w:r>
      <w:r>
        <w:rPr>
          <w:rFonts w:hint="eastAsia" w:ascii="仿宋_GB2312" w:hAnsi="仿宋_GB2312" w:eastAsia="仿宋_GB2312" w:cs="仿宋_GB2312"/>
          <w:b/>
          <w:bCs/>
          <w:color w:val="auto"/>
          <w:sz w:val="32"/>
          <w:szCs w:val="32"/>
        </w:rPr>
        <w:t>党日</w:t>
      </w:r>
      <w:r>
        <w:rPr>
          <w:rFonts w:hint="eastAsia" w:ascii="仿宋_GB2312" w:hAnsi="仿宋_GB2312" w:eastAsia="仿宋_GB2312" w:cs="仿宋_GB2312"/>
          <w:b/>
          <w:bCs/>
          <w:color w:val="auto"/>
          <w:sz w:val="32"/>
          <w:szCs w:val="32"/>
          <w:lang w:eastAsia="zh-CN"/>
        </w:rPr>
        <w:t>活动</w:t>
      </w:r>
      <w:r>
        <w:rPr>
          <w:rFonts w:hint="eastAsia" w:ascii="仿宋_GB2312" w:hAnsi="仿宋_GB2312" w:eastAsia="仿宋_GB2312" w:cs="仿宋_GB2312"/>
          <w:b/>
          <w:bCs/>
          <w:color w:val="auto"/>
          <w:sz w:val="32"/>
          <w:szCs w:val="32"/>
        </w:rPr>
        <w:t>激活组织生活吸引力、以常态化核查倒逼规范落实，</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进一步深化“五主题三作用”作用发挥</w:t>
      </w:r>
      <w:r>
        <w:rPr>
          <w:rFonts w:hint="eastAsia" w:ascii="仿宋_GB2312" w:hAnsi="仿宋_GB2312" w:eastAsia="仿宋_GB2312" w:cs="仿宋_GB2312"/>
          <w:b/>
          <w:bCs/>
          <w:color w:val="auto"/>
          <w:sz w:val="32"/>
          <w:szCs w:val="32"/>
        </w:rPr>
        <w:t>，实现党建基础工作全面提档升级</w:t>
      </w:r>
    </w:p>
    <w:p w14:paraId="57106F36">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探索开展示范性主题党日观摩活动，分局党委组织各支部委员到西环高速服务区军事科普体验站开展“科普迎国庆 共筑强国梦”主题党日活动，为各党支部开展高质量的主题党日活动提供可学、可鉴样板。</w:t>
      </w:r>
    </w:p>
    <w:p w14:paraId="663D102D">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制定下发《关于落实巡察反馈问题清单涉党建工作问题整改的通知》，各党支部已严格按照通知要求落实，并长期坚持。</w:t>
      </w:r>
    </w:p>
    <w:p w14:paraId="6FA72CFD">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制定下发《关于加强和规范横栏公安分局党支部建设的实施意见（试行）》，督促各党支部严格落实每月一次主题党日活动，在坚持传统“三会一课”等基础上，创新丰富形式，增强吸引力和感染力。</w:t>
      </w:r>
    </w:p>
    <w:p w14:paraId="627F3C46">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四是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建立每季度检查各党支部“五主题三作用”机制，并检查各党支部“五主题三作用”落实情况1轮次，暂无发现问题。</w:t>
      </w:r>
    </w:p>
    <w:p w14:paraId="3A00229A">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highlight w:val="yellow"/>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（47）持续</w:t>
      </w:r>
      <w:r>
        <w:rPr>
          <w:rFonts w:hint="eastAsia" w:ascii="仿宋_GB2312" w:hAnsi="仿宋_GB2312" w:eastAsia="仿宋_GB2312" w:cs="仿宋_GB2312"/>
          <w:b/>
          <w:bCs/>
          <w:color w:val="auto"/>
          <w:sz w:val="32"/>
          <w:szCs w:val="32"/>
        </w:rPr>
        <w:t>推进组织生活标准化建设</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实施</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教育明责-标准建制-穿透式监管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三步法，通过谈话警示压实领导干部参与责任、制发模板规范组织生活全要素流程、</w:t>
      </w:r>
      <w:r>
        <w:rPr>
          <w:rFonts w:hint="eastAsia" w:ascii="仿宋_GB2312" w:hAnsi="仿宋_GB2312" w:eastAsia="仿宋_GB2312" w:cs="仿宋_GB2312"/>
          <w:b/>
          <w:bCs/>
          <w:color w:val="auto"/>
          <w:sz w:val="32"/>
          <w:szCs w:val="32"/>
          <w:lang w:eastAsia="zh-CN"/>
        </w:rPr>
        <w:t>从严把好“三关”</w:t>
      </w:r>
      <w:r>
        <w:rPr>
          <w:rFonts w:hint="eastAsia" w:ascii="仿宋_GB2312" w:hAnsi="仿宋_GB2312" w:eastAsia="仿宋_GB2312" w:cs="仿宋_GB2312"/>
          <w:b/>
          <w:bCs/>
          <w:color w:val="auto"/>
          <w:sz w:val="32"/>
          <w:szCs w:val="32"/>
        </w:rPr>
        <w:t>，切实破解组织生活制度空转难题</w:t>
      </w:r>
    </w:p>
    <w:p w14:paraId="09E68AA8">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对相关责任人开展提醒谈话，要求严格落实党员领导干部双重组织生活制度，以普通党员参加组织生活会，开展批评和自我批评，自觉接受党组织和党员监督。</w:t>
      </w:r>
    </w:p>
    <w:p w14:paraId="7C4A88E1">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制定下发《关于落实巡察反馈问题清单涉党建工作问题整改的通知》，要求各党支部组织生活会和民主评议党员需严格按程序开展，要包含会前准备记录、对照检查、表态发言、整改措施等，会上要“一会四评”，领导班子以普通党员身份参加组织生活会。</w:t>
      </w:r>
    </w:p>
    <w:p w14:paraId="29EB1837">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召开党务工作培训会针对组织生活会和民主评议党员存在问题开展培训，并下发《组织生活制度实操流程》，规范组织生活会各方面流程和民主评议党员各项要求。</w:t>
      </w:r>
    </w:p>
    <w:p w14:paraId="700DA67E">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四是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加强督导检查，落实会前材料审核、会中程序指导、会后督办整改等措施，确保组织生活会和民主评议党员工作程序严谨、流程规范、取得实效。</w:t>
      </w:r>
    </w:p>
    <w:p w14:paraId="57F7473A">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3.严肃党支部换届选举</w:t>
      </w:r>
    </w:p>
    <w:p w14:paraId="184A05FE">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（48）</w:t>
      </w:r>
      <w:r>
        <w:rPr>
          <w:rFonts w:hint="eastAsia" w:ascii="仿宋_GB2312" w:hAnsi="仿宋_GB2312" w:eastAsia="仿宋_GB2312" w:cs="仿宋_GB2312"/>
          <w:b/>
          <w:bCs/>
          <w:color w:val="auto"/>
          <w:sz w:val="32"/>
          <w:szCs w:val="32"/>
        </w:rPr>
        <w:t>强化</w:t>
      </w:r>
      <w:r>
        <w:rPr>
          <w:rFonts w:hint="eastAsia" w:ascii="仿宋_GB2312" w:hAnsi="仿宋_GB2312" w:eastAsia="仿宋_GB2312" w:cs="仿宋_GB2312"/>
          <w:b/>
          <w:bCs/>
          <w:color w:val="auto"/>
          <w:sz w:val="32"/>
          <w:szCs w:val="32"/>
          <w:lang w:eastAsia="zh-CN"/>
        </w:rPr>
        <w:t>党支部</w:t>
      </w:r>
      <w:r>
        <w:rPr>
          <w:rFonts w:hint="eastAsia" w:ascii="仿宋_GB2312" w:hAnsi="仿宋_GB2312" w:eastAsia="仿宋_GB2312" w:cs="仿宋_GB2312"/>
          <w:b/>
          <w:bCs/>
          <w:color w:val="auto"/>
          <w:sz w:val="32"/>
          <w:szCs w:val="32"/>
        </w:rPr>
        <w:t>换届选举规范化建设</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开展专项培训破除实践盲区，制定标准化模板固化关键环节流程，</w:t>
      </w:r>
      <w:r>
        <w:rPr>
          <w:rFonts w:hint="eastAsia" w:ascii="仿宋_GB2312" w:hAnsi="仿宋_GB2312" w:eastAsia="仿宋_GB2312" w:cs="仿宋_GB2312"/>
          <w:b/>
          <w:bCs/>
          <w:color w:val="auto"/>
          <w:sz w:val="32"/>
          <w:szCs w:val="32"/>
          <w:lang w:eastAsia="zh-CN"/>
        </w:rPr>
        <w:t>健全</w:t>
      </w:r>
      <w:r>
        <w:rPr>
          <w:rFonts w:hint="eastAsia" w:ascii="仿宋_GB2312" w:hAnsi="仿宋_GB2312" w:eastAsia="仿宋_GB2312" w:cs="仿宋_GB2312"/>
          <w:b/>
          <w:bCs/>
          <w:color w:val="auto"/>
          <w:sz w:val="32"/>
          <w:szCs w:val="32"/>
        </w:rPr>
        <w:t>节点材料报审与追溯问责机制，实现从筹备到选举的全链条程序管控，切实保障基层党组织换届选举严肃性</w:t>
      </w:r>
    </w:p>
    <w:p w14:paraId="212308A1">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组织召开党务工作培训会，由分局党委副书记针对性开展党支部换届程序培训，分局党委书记就进一步抓好党建工作强调了五点要求。</w:t>
      </w:r>
    </w:p>
    <w:p w14:paraId="03AA8949">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汇总下发《机关事业单位党组织换届选举参考资料》，对准备工作、民主推荐、考察公示、正式选举四方面主要程序内容列出操作指引，指导党支部规范开展换届选举。</w:t>
      </w:r>
    </w:p>
    <w:p w14:paraId="282CB5FA">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对相关责任人开展提醒谈话，指出问题不足，要求严格按照党支部换届选举规范程序开展换届选举工作。</w:t>
      </w:r>
    </w:p>
    <w:p w14:paraId="634342B9">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四是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细化党支部换届选举“三上三下”监督机制，在各党支部开展换届工作中，各流程节点均需上报全套材料至政工监督室开展检查，发现程序不严谨、步骤不完整、记录简单等情形的，及时采取纠正措施并追踪整改情况。</w:t>
      </w:r>
    </w:p>
    <w:p w14:paraId="1E2F9EE3">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4.从严从实抓好发展党员工作</w:t>
      </w:r>
    </w:p>
    <w:p w14:paraId="23C5721E">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（49）</w:t>
      </w:r>
      <w:r>
        <w:rPr>
          <w:rFonts w:hint="eastAsia" w:ascii="仿宋_GB2312" w:hAnsi="仿宋_GB2312" w:eastAsia="仿宋_GB2312" w:cs="仿宋_GB2312"/>
          <w:b/>
          <w:bCs/>
          <w:color w:val="auto"/>
          <w:sz w:val="32"/>
          <w:szCs w:val="32"/>
        </w:rPr>
        <w:t>构建发展党员全周期质控体系，通过党委领学强化制度刚性、约谈提醒压实责任、专项培训提升业务能力，配套下发标准化操作模板，建立</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阶段双审核</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准入机制，同步开展档案专项清查整改，实现发展党员工作全流程标准化、档案管理规范化、责任落实链条化</w:t>
      </w:r>
    </w:p>
    <w:p w14:paraId="23DA89DB">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召开党委（扩大）会议，组织学习了《中国共产党发展党员工作细则》等党内法规，要求各党支部严格按照5个阶段、25个步骤发展党员。</w:t>
      </w:r>
    </w:p>
    <w:p w14:paraId="62E35A5A">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对相关责任人开展提醒谈话，要求务必严格按照相关规范流程发展党员。</w:t>
      </w:r>
    </w:p>
    <w:p w14:paraId="6267E78D">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召开党务工作培训会，强化提升各党支部委员和党务工作者的业务能力。</w:t>
      </w:r>
    </w:p>
    <w:p w14:paraId="51AA441B">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四是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汇总下发了《发展党员工作辅导PPT》和《发展党员参考材料》，指导各党支部规范发展党员。</w:t>
      </w:r>
    </w:p>
    <w:p w14:paraId="09849FD7">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五是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完善发展党员材料审核机制，在确定入党积极分子、确定为发展对象、接收预备党员、预备党员转正等阶段前，收集各党支部发展党员全套材料经政工监督室、镇党建办审核通过后才能进行后续程序，确保发展党员工作严格按照流程进行。目前已对近三年发展党员的档案材料进行全量排查，及时发现问题并全部完成整改。</w:t>
      </w:r>
    </w:p>
    <w:p w14:paraId="2E244A86">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rPr>
        <w:t>5</w:t>
      </w:r>
      <w:r>
        <w:rPr>
          <w:rFonts w:hint="default" w:ascii="仿宋_GB2312" w:hAnsi="仿宋_GB2312" w:eastAsia="仿宋_GB2312" w:cs="仿宋_GB2312"/>
          <w:b/>
          <w:bCs/>
          <w:i w:val="0"/>
          <w:caps w:val="0"/>
          <w:snapToGrid/>
          <w:color w:val="auto"/>
          <w:spacing w:val="0"/>
          <w:kern w:val="0"/>
          <w:sz w:val="32"/>
          <w:szCs w:val="32"/>
          <w:shd w:val="clear" w:color="auto" w:fill="auto"/>
          <w:lang w:val="en-US" w:eastAsia="zh-CN"/>
        </w:rPr>
        <w:t>.</w:t>
      </w:r>
      <w:r>
        <w:rPr>
          <w:rFonts w:hint="eastAsia" w:ascii="仿宋_GB2312" w:hAnsi="仿宋_GB2312" w:eastAsia="仿宋_GB2312" w:cs="仿宋_GB2312"/>
          <w:b/>
          <w:bCs/>
          <w:i w:val="0"/>
          <w:caps w:val="0"/>
          <w:snapToGrid/>
          <w:color w:val="auto"/>
          <w:spacing w:val="0"/>
          <w:kern w:val="0"/>
          <w:sz w:val="32"/>
          <w:szCs w:val="32"/>
          <w:shd w:val="clear" w:color="auto" w:fill="auto"/>
          <w:lang w:val="en-US" w:eastAsia="zh-CN"/>
        </w:rPr>
        <w:t>优化</w:t>
      </w:r>
      <w:r>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rPr>
        <w:t>干部队伍建设</w:t>
      </w:r>
    </w:p>
    <w:p w14:paraId="4C8CD17E">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（50）下好干部队伍建设“长远棋”，</w:t>
      </w:r>
      <w:r>
        <w:rPr>
          <w:rFonts w:hint="eastAsia" w:ascii="仿宋_GB2312" w:hAnsi="仿宋_GB2312" w:eastAsia="仿宋_GB2312" w:cs="仿宋_GB2312"/>
          <w:b/>
          <w:bCs/>
          <w:color w:val="auto"/>
          <w:sz w:val="32"/>
          <w:szCs w:val="32"/>
        </w:rPr>
        <w:t>聚焦干部队伍断层风险，实施</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育苗</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壮骨</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护航</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专项行动，通过建立急难险重任务识别机制</w:t>
      </w:r>
      <w:r>
        <w:rPr>
          <w:rFonts w:hint="eastAsia" w:ascii="仿宋_GB2312" w:hAnsi="仿宋_GB2312" w:eastAsia="仿宋_GB2312" w:cs="仿宋_GB2312"/>
          <w:b/>
          <w:bCs/>
          <w:color w:val="auto"/>
          <w:sz w:val="32"/>
          <w:szCs w:val="32"/>
          <w:lang w:eastAsia="zh-CN"/>
        </w:rPr>
        <w:t>储优后备力量</w:t>
      </w:r>
      <w:r>
        <w:rPr>
          <w:rFonts w:hint="eastAsia" w:ascii="仿宋_GB2312" w:hAnsi="仿宋_GB2312" w:eastAsia="仿宋_GB2312" w:cs="仿宋_GB2312"/>
          <w:b/>
          <w:bCs/>
          <w:color w:val="auto"/>
          <w:sz w:val="32"/>
          <w:szCs w:val="32"/>
        </w:rPr>
        <w:t>、组建攻坚专班缩短骨干成长周期、推行职级晋升差异激励政策、创设新警成长双导师责任制，系统性破解干部队伍</w:t>
      </w:r>
      <w:r>
        <w:rPr>
          <w:rFonts w:hint="eastAsia" w:ascii="仿宋_GB2312" w:hAnsi="仿宋_GB2312" w:eastAsia="仿宋_GB2312" w:cs="仿宋_GB2312"/>
          <w:b/>
          <w:bCs/>
          <w:color w:val="auto"/>
          <w:sz w:val="32"/>
          <w:szCs w:val="32"/>
          <w:lang w:eastAsia="zh-CN"/>
        </w:rPr>
        <w:t>两极分化</w:t>
      </w:r>
      <w:r>
        <w:rPr>
          <w:rFonts w:hint="eastAsia" w:ascii="仿宋_GB2312" w:hAnsi="仿宋_GB2312" w:eastAsia="仿宋_GB2312" w:cs="仿宋_GB2312"/>
          <w:b/>
          <w:bCs/>
          <w:color w:val="auto"/>
          <w:sz w:val="32"/>
          <w:szCs w:val="32"/>
        </w:rPr>
        <w:t>难题</w:t>
      </w:r>
    </w:p>
    <w:p w14:paraId="79F7AF57">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分局党委召开会议研究部署干部队伍建设工作，强调要坚持有计划培养和多岗位锻炼干部，注重在完成急难险重任务、应对重大事件的工作实践中识别、考察、选拔优秀年轻干部，储备一批政治坚定、业务精通、清正廉洁的后备干部。</w:t>
      </w:r>
    </w:p>
    <w:p w14:paraId="45390A6D">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抽调年轻办案骨干成立重点案件攻坚专班，对业务骨干重点培养。</w:t>
      </w:r>
    </w:p>
    <w:p w14:paraId="2C488375">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在职级晋升民主工作中，分局在坚持以往规则基础上，对表现突出的业务骨干予以重点倾斜，并择优进行推荐，让能者上成为常态。</w:t>
      </w:r>
    </w:p>
    <w:p w14:paraId="42FE1981">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四是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强化传帮带作用发挥，对近三年来新招录的新入职民警全量结对思想导师、业务导师，为将新警日后培养成为中坚力量提供坚强保障。</w:t>
      </w:r>
    </w:p>
    <w:p w14:paraId="5872D60D">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6.积极推进人员交流轮岗</w:t>
      </w:r>
    </w:p>
    <w:p w14:paraId="05514D80">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（51）</w:t>
      </w:r>
      <w:r>
        <w:rPr>
          <w:rFonts w:hint="eastAsia" w:ascii="仿宋_GB2312" w:hAnsi="仿宋_GB2312" w:eastAsia="仿宋_GB2312" w:cs="仿宋_GB2312"/>
          <w:b/>
          <w:bCs/>
          <w:color w:val="auto"/>
          <w:sz w:val="32"/>
          <w:szCs w:val="32"/>
        </w:rPr>
        <w:t>系统推进</w:t>
      </w:r>
      <w:r>
        <w:rPr>
          <w:rFonts w:hint="eastAsia" w:ascii="仿宋_GB2312" w:hAnsi="仿宋_GB2312" w:eastAsia="仿宋_GB2312" w:cs="仿宋_GB2312"/>
          <w:b/>
          <w:bCs/>
          <w:color w:val="auto"/>
          <w:sz w:val="32"/>
          <w:szCs w:val="32"/>
          <w:lang w:eastAsia="zh-CN"/>
        </w:rPr>
        <w:t>干部人事制度</w:t>
      </w:r>
      <w:r>
        <w:rPr>
          <w:rFonts w:hint="eastAsia" w:ascii="仿宋_GB2312" w:hAnsi="仿宋_GB2312" w:eastAsia="仿宋_GB2312" w:cs="仿宋_GB2312"/>
          <w:b/>
          <w:bCs/>
          <w:color w:val="auto"/>
          <w:sz w:val="32"/>
          <w:szCs w:val="32"/>
        </w:rPr>
        <w:t>改革</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以党委决策强化</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复合型干部</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培养导向，攻坚超期任职人员分类轮岗</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出台轮岗管理办法建立长效机制，推动干部资源配置科学化、队伍结构动态优化</w:t>
      </w:r>
    </w:p>
    <w:p w14:paraId="06F6183C">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分局党委召开会议研究部署干部队伍建设工作，强调要持续发力强警攻坚，抓好教育培训各项举措，适时开展内部轮岗，坚持多岗位锻炼干部，注重基层复杂艰苦环境的锻炼磨砺，持续提升干部的综合素质。</w:t>
      </w:r>
    </w:p>
    <w:p w14:paraId="4989C0D6">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对在同一岗位超10年的民警深入研究开展轮岗，目前，共轮岗15人。</w:t>
      </w:r>
    </w:p>
    <w:p w14:paraId="3DF5C6B7">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制定《中山市公安局横栏分局轮岗交流办法》，在以后的工作中，将严格按照轮岗交流办法，有计划、分批次对中层干部、民警进行交流调整。</w:t>
      </w:r>
    </w:p>
    <w:p w14:paraId="3FB8D3AA">
      <w:pPr>
        <w:keepNext w:val="0"/>
        <w:keepLines w:val="0"/>
        <w:pageBreakBefore w:val="0"/>
        <w:widowControl w:val="0"/>
        <w:numPr>
          <w:ilvl w:val="0"/>
          <w:numId w:val="0"/>
        </w:numPr>
        <w:kinsoku/>
        <w:wordWrap/>
        <w:overflowPunct/>
        <w:topLinePunct w:val="0"/>
        <w:bidi w:val="0"/>
        <w:spacing w:line="600" w:lineRule="exact"/>
        <w:ind w:left="0" w:leftChars="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7.落实从优待警</w:t>
      </w:r>
    </w:p>
    <w:p w14:paraId="71FFD938">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（52）落实落细爱警暖警措施，全力破解警力不足与工作任务繁重矛盾</w:t>
      </w:r>
    </w:p>
    <w:p w14:paraId="14B60787">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强化爱警暖警措施落实，分局党委积极向上级争取支持，兑现部分福利待遇；保障落实相关专项经费；完善辅警加班值班补贴计算方法，确保辅警加班值班补贴按时发放。同时，分局党委严格按照关于爱警暖警行动措施任务情况落实各项爱警暖警措施，落实全警年度体检，推动年休假落实，对因公受伤等情况的民辅警开展慰问29人次，邀请省厅心理健康服务工作队到横栏开展团体心理辅导，日常组织各级政工干部开展谈心谈话和心理疏导服务，及时发放节庆日慰问品，并做好困难帮扶。</w:t>
      </w:r>
    </w:p>
    <w:p w14:paraId="4376FF45">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全力破解警力不足与工作任务繁重矛盾，分局党委积极向上级争取支持，在警力分配、实践锻炼警力分配等予以倾斜。同时，分局党委持续健全完善强基工作机制，截至2025年3月共安排分局机关警力2000余人次下沉开展校园安保、夜查行动、重点场所及部位驻守等工作，全力确保基层运转平稳有序。</w:t>
      </w:r>
    </w:p>
    <w:p w14:paraId="280EF4BA">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楷体_GB2312" w:hAnsi="楷体_GB2312" w:eastAsia="楷体_GB2312" w:cs="楷体_GB2312"/>
          <w:b w:val="0"/>
          <w:bCs/>
          <w:color w:val="auto"/>
          <w:sz w:val="32"/>
          <w:szCs w:val="32"/>
          <w:lang w:val="en-US" w:eastAsia="zh-CN"/>
        </w:rPr>
        <w:t>（四）聚焦巡察、审计和政法队伍教育整顿等发现问题整改落实情况</w:t>
      </w:r>
    </w:p>
    <w:p w14:paraId="4B2FA0C7">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1</w:t>
      </w:r>
      <w:r>
        <w:rPr>
          <w:rFonts w:hint="default" w:ascii="仿宋_GB2312" w:hAnsi="仿宋_GB2312" w:eastAsia="仿宋_GB2312" w:cs="仿宋_GB2312"/>
          <w:b/>
          <w:bCs/>
          <w:i w:val="0"/>
          <w:caps w:val="0"/>
          <w:color w:val="auto"/>
          <w:spacing w:val="0"/>
          <w:kern w:val="0"/>
          <w:sz w:val="32"/>
          <w:szCs w:val="32"/>
          <w:shd w:val="clear" w:color="auto" w:fill="auto"/>
          <w:lang w:val="en-US" w:eastAsia="zh-CN"/>
        </w:rPr>
        <w:t>.</w:t>
      </w: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推动审计反馈问题真改、实改，进一步提升取保候审保证金规范管理水平</w:t>
      </w:r>
    </w:p>
    <w:p w14:paraId="678B27F6">
      <w:pPr>
        <w:keepNext w:val="0"/>
        <w:keepLines w:val="0"/>
        <w:pageBreakBefore w:val="0"/>
        <w:widowControl w:val="0"/>
        <w:numPr>
          <w:ilvl w:val="0"/>
          <w:numId w:val="0"/>
        </w:numPr>
        <w:tabs>
          <w:tab w:val="left" w:pos="840"/>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（53）及时处理取保候审保证金</w:t>
      </w:r>
    </w:p>
    <w:p w14:paraId="600BB2DB">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组织召开横栏分局涉案财物管理工作推进会，要求各部门严格落实涉案财物管理工作主体责任，要做好涉案财物的登记、提取（扣押）、移交、处置等执法行为，强化涉案财物全流程规范管理。</w:t>
      </w:r>
    </w:p>
    <w:p w14:paraId="5EC7999C">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已对相关取保候审保证金重新梳理，其中3笔已退还被取保候审人，已在政府网站对7笔取保候审保证金进行公告，待公告期满后将及时依法作出处理。</w:t>
      </w:r>
    </w:p>
    <w:p w14:paraId="098BB4A9">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制定《中山市公安局横栏分局涉案财物管理规定》，进一步确保取保候审保证金的收取、退还、没收更加规范。</w:t>
      </w:r>
    </w:p>
    <w:p w14:paraId="70955316">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四是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组织办案部门对全部办案民警进行了提醒谈话，指出问题不足并强调了工作要求。</w:t>
      </w:r>
    </w:p>
    <w:p w14:paraId="0F4F4A2E">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color w:va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2.规范涉案财物管理</w:t>
      </w:r>
    </w:p>
    <w:p w14:paraId="60FD78C1">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bCs/>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（54）严格按照规定处理涉案财物</w:t>
      </w:r>
    </w:p>
    <w:p w14:paraId="5E324744">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分局党委召开会议部署涉案财物管理工作。</w:t>
      </w:r>
    </w:p>
    <w:p w14:paraId="5DA54130">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开展涉案财物管理风险问题隐患专项排查</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整治</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，及时</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将部分暂扣款按规定进行了处理；依法处理涉案车辆，已依法发还涉案车辆6辆；无人认领车辆已在政府网站分两批次发布车辆认领公告，待公告期满后将依法处理。</w:t>
      </w:r>
    </w:p>
    <w:p w14:paraId="458D3FF6">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对相关责任人员进行了提醒谈话，要求认真履行工作责任，严格抓好涉案财物管理工作。</w:t>
      </w:r>
    </w:p>
    <w:p w14:paraId="78ED2FED">
      <w:pPr>
        <w:keepLines w:val="0"/>
        <w:pageBreakBefore w:val="0"/>
        <w:widowControl w:val="0"/>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四是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进一步完善涉案车辆台账登记，确保所有摩托车、电动车、汽车全量登记在册。</w:t>
      </w:r>
    </w:p>
    <w:p w14:paraId="58923653">
      <w:pPr>
        <w:keepNext w:val="0"/>
        <w:keepLines w:val="0"/>
        <w:pageBreakBefore w:val="0"/>
        <w:widowControl w:val="0"/>
        <w:numPr>
          <w:ilvl w:val="0"/>
          <w:numId w:val="0"/>
        </w:numPr>
        <w:tabs>
          <w:tab w:val="left" w:pos="840"/>
          <w:tab w:val="left" w:pos="3069"/>
        </w:tabs>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shd w:val="clear" w:color="auto" w:fill="auto"/>
          <w:lang w:val="en-US" w:eastAsia="zh-CN"/>
        </w:rPr>
        <w:t>五是</w:t>
      </w:r>
      <w:r>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t>制定《中山市公安局横栏分局涉案财物管理规定》，明确扣押款的扣押、处理流程和涉案车辆管理工作，更有效地监督涉案财物规范管理。</w:t>
      </w:r>
    </w:p>
    <w:p w14:paraId="02FBDE5E">
      <w:pPr>
        <w:keepLines w:val="0"/>
        <w:pageBreakBefore w:val="0"/>
        <w:numPr>
          <w:ilvl w:val="0"/>
          <w:numId w:val="1"/>
        </w:numPr>
        <w:kinsoku/>
        <w:wordWrap/>
        <w:overflowPunct/>
        <w:topLinePunct w:val="0"/>
        <w:bidi w:val="0"/>
        <w:spacing w:line="600" w:lineRule="exact"/>
        <w:ind w:left="0" w:leftChars="0" w:right="0" w:firstLine="640" w:firstLineChars="200"/>
        <w:jc w:val="both"/>
        <w:textAlignment w:val="auto"/>
        <w:rPr>
          <w:rFonts w:hint="eastAsia" w:ascii="仿宋_GB2312" w:hAnsi="仿宋_GB2312" w:eastAsia="仿宋_GB2312" w:cs="仿宋_GB2312"/>
          <w:b w:val="0"/>
          <w:bCs w:val="0"/>
          <w:i w:val="0"/>
          <w:caps w:val="0"/>
          <w:color w:val="auto"/>
          <w:spacing w:val="0"/>
          <w:kern w:val="0"/>
          <w:sz w:val="32"/>
          <w:szCs w:val="32"/>
          <w:shd w:val="clear" w:color="auto" w:fill="auto"/>
          <w:lang w:val="en-US" w:eastAsia="zh-CN"/>
        </w:rPr>
      </w:pPr>
      <w:r>
        <w:rPr>
          <w:rFonts w:hint="eastAsia" w:ascii="黑体" w:hAnsi="宋体" w:eastAsia="黑体" w:cs="黑体"/>
          <w:b w:val="0"/>
          <w:bCs w:val="0"/>
          <w:i w:val="0"/>
          <w:caps w:val="0"/>
          <w:color w:val="auto"/>
          <w:spacing w:val="0"/>
          <w:kern w:val="0"/>
          <w:sz w:val="32"/>
          <w:szCs w:val="32"/>
          <w:shd w:val="clear" w:color="auto" w:fill="auto"/>
          <w:lang w:val="en-US" w:eastAsia="zh-CN"/>
        </w:rPr>
        <w:t>需长期整改事项进展情况</w:t>
      </w:r>
    </w:p>
    <w:p w14:paraId="6F6F699E">
      <w:pPr>
        <w:keepNext w:val="0"/>
        <w:keepLines w:val="0"/>
        <w:pageBreakBefore w:val="0"/>
        <w:widowControl w:val="0"/>
        <w:numPr>
          <w:ilvl w:val="0"/>
          <w:numId w:val="0"/>
        </w:numPr>
        <w:kinsoku/>
        <w:wordWrap/>
        <w:overflowPunct/>
        <w:topLinePunct w:val="0"/>
        <w:bidi w:val="0"/>
        <w:spacing w:line="600" w:lineRule="exact"/>
        <w:ind w:left="0" w:leftChars="0" w:right="0" w:firstLine="640" w:firstLineChars="200"/>
        <w:jc w:val="both"/>
        <w:textAlignment w:val="auto"/>
        <w:rPr>
          <w:rFonts w:hint="eastAsia" w:ascii="楷体" w:hAnsi="楷体" w:eastAsia="楷体" w:cs="楷体"/>
          <w:b w:val="0"/>
          <w:bCs w:val="0"/>
          <w:color w:val="auto"/>
          <w:lang w:val="en-US" w:eastAsia="zh-CN"/>
        </w:rPr>
      </w:pPr>
      <w:r>
        <w:rPr>
          <w:rFonts w:hint="eastAsia" w:ascii="楷体" w:hAnsi="楷体" w:eastAsia="楷体" w:cs="楷体"/>
          <w:b w:val="0"/>
          <w:bCs w:val="0"/>
          <w:i w:val="0"/>
          <w:caps w:val="0"/>
          <w:color w:val="auto"/>
          <w:spacing w:val="0"/>
          <w:kern w:val="0"/>
          <w:sz w:val="32"/>
          <w:szCs w:val="32"/>
          <w:highlight w:val="none"/>
          <w:shd w:val="clear" w:color="auto" w:fill="auto"/>
          <w:lang w:val="en-US" w:eastAsia="zh-CN"/>
        </w:rPr>
        <w:t>（一）强化</w:t>
      </w:r>
      <w:r>
        <w:rPr>
          <w:rFonts w:hint="eastAsia" w:ascii="楷体" w:hAnsi="楷体" w:eastAsia="楷体" w:cs="楷体"/>
          <w:b w:val="0"/>
          <w:bCs w:val="0"/>
          <w:i w:val="0"/>
          <w:caps w:val="0"/>
          <w:color w:val="auto"/>
          <w:spacing w:val="0"/>
          <w:kern w:val="0"/>
          <w:sz w:val="32"/>
          <w:szCs w:val="32"/>
          <w:shd w:val="clear" w:color="auto" w:fill="auto"/>
          <w:lang w:val="en-US" w:eastAsia="zh-CN"/>
        </w:rPr>
        <w:t>智慧公安基础建设</w:t>
      </w:r>
    </w:p>
    <w:p w14:paraId="6873C6D1">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分局党委高度重视，积极争取镇党委政府支持力度，加强沟通协调，目前已新增可视化接处警设备一批，推动现场接处警可视化工作再上新台阶。</w:t>
      </w:r>
    </w:p>
    <w:p w14:paraId="6CCF98AB">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深入开展自查自纠，排查电子卷宗录入等方面的问题，并将多宗刑事案件电子卷宗上传警综系统，实现信息化管理。</w:t>
      </w:r>
    </w:p>
    <w:p w14:paraId="312B3DBF">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积极推进多个一类视频治安卡口修复，现已修复90%，其余视频卡口按照要求及时整改落实。</w:t>
      </w:r>
    </w:p>
    <w:p w14:paraId="78057B23">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四是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积极敦促维护公司及时制定视频设备定期巡查检查维护机制，下一步将按照机制进行常态化检查维护。</w:t>
      </w:r>
    </w:p>
    <w:p w14:paraId="46113BB5">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五是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积极加强与上级沟通对接，对符合上级技术标准的交通技术监控设备加快申请报批流程，力求尽快重新投入使用。</w:t>
      </w:r>
    </w:p>
    <w:p w14:paraId="601463CC">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六是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分局党委紧紧围绕上级部门“四大警务”战略，积极谋划智慧公安建设，争取镇党委政府支持，开展补点视频建设项目，目前设计单位完成前端勘点并出具设计方案，下一步准备招投标工作。</w:t>
      </w:r>
    </w:p>
    <w:p w14:paraId="5C768B88">
      <w:pPr>
        <w:keepNext w:val="0"/>
        <w:keepLines w:val="0"/>
        <w:pageBreakBefore w:val="0"/>
        <w:widowControl w:val="0"/>
        <w:numPr>
          <w:ilvl w:val="0"/>
          <w:numId w:val="0"/>
        </w:numPr>
        <w:kinsoku/>
        <w:wordWrap/>
        <w:overflowPunct/>
        <w:topLinePunct w:val="0"/>
        <w:bidi w:val="0"/>
        <w:spacing w:line="600" w:lineRule="exact"/>
        <w:ind w:left="0" w:leftChars="0" w:right="0" w:firstLine="640" w:firstLineChars="200"/>
        <w:jc w:val="both"/>
        <w:textAlignment w:val="auto"/>
        <w:rPr>
          <w:rFonts w:hint="eastAsia" w:ascii="楷体" w:hAnsi="楷体" w:eastAsia="楷体" w:cs="楷体"/>
          <w:b w:val="0"/>
          <w:bCs w:val="0"/>
          <w:i w:val="0"/>
          <w:caps w:val="0"/>
          <w:color w:val="auto"/>
          <w:spacing w:val="0"/>
          <w:kern w:val="0"/>
          <w:sz w:val="32"/>
          <w:szCs w:val="32"/>
          <w:highlight w:val="none"/>
          <w:shd w:val="clear" w:color="auto" w:fill="auto"/>
          <w:lang w:val="en-US" w:eastAsia="zh-CN"/>
        </w:rPr>
      </w:pPr>
      <w:r>
        <w:rPr>
          <w:rFonts w:hint="eastAsia" w:ascii="楷体" w:hAnsi="楷体" w:eastAsia="楷体" w:cs="楷体"/>
          <w:b w:val="0"/>
          <w:bCs w:val="0"/>
          <w:i w:val="0"/>
          <w:caps w:val="0"/>
          <w:color w:val="auto"/>
          <w:spacing w:val="0"/>
          <w:kern w:val="0"/>
          <w:sz w:val="32"/>
          <w:szCs w:val="32"/>
          <w:highlight w:val="none"/>
          <w:shd w:val="clear" w:color="auto" w:fill="auto"/>
          <w:lang w:val="en-US" w:eastAsia="zh-CN"/>
        </w:rPr>
        <w:t>（二）持续抓好“三非”案件行政处罚的后续执行情况</w:t>
      </w:r>
    </w:p>
    <w:p w14:paraId="71972B89">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一是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督促办案部门持续抓好“三非”案件处罚情况跟进落实。</w:t>
      </w:r>
    </w:p>
    <w:p w14:paraId="5A2417C3">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二是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安排专职人员对“三非”案件办理情况进行跟进，定期更新执行情况。</w:t>
      </w:r>
    </w:p>
    <w:p w14:paraId="1EBBECD3">
      <w:pPr>
        <w:keepLines w:val="0"/>
        <w:pageBreakBefore w:val="0"/>
        <w:numPr>
          <w:ilvl w:val="0"/>
          <w:numId w:val="0"/>
        </w:numPr>
        <w:kinsoku/>
        <w:wordWrap/>
        <w:overflowPunct/>
        <w:topLinePunct w:val="0"/>
        <w:bidi w:val="0"/>
        <w:spacing w:line="600" w:lineRule="exact"/>
        <w:ind w:left="0" w:leftChars="0" w:right="0" w:firstLine="643" w:firstLineChars="200"/>
        <w:jc w:val="both"/>
        <w:textAlignment w:val="auto"/>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pPr>
      <w:r>
        <w:rPr>
          <w:rFonts w:hint="eastAsia" w:ascii="仿宋_GB2312" w:hAnsi="仿宋_GB2312" w:eastAsia="仿宋_GB2312" w:cs="仿宋_GB2312"/>
          <w:b/>
          <w:bCs/>
          <w:i w:val="0"/>
          <w:caps w:val="0"/>
          <w:color w:val="auto"/>
          <w:spacing w:val="0"/>
          <w:kern w:val="0"/>
          <w:sz w:val="32"/>
          <w:szCs w:val="32"/>
          <w:highlight w:val="none"/>
          <w:shd w:val="clear" w:color="auto" w:fill="auto"/>
          <w:lang w:val="en-US" w:eastAsia="zh-CN"/>
        </w:rPr>
        <w:t>三是</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rPr>
        <w:t>针对难点问题，持续攻坚克难，争取多方联动、及时解决。</w:t>
      </w:r>
    </w:p>
    <w:p w14:paraId="79C120D0">
      <w:pPr>
        <w:keepLines w:val="0"/>
        <w:pageBreakBefore w:val="0"/>
        <w:numPr>
          <w:ilvl w:val="0"/>
          <w:numId w:val="1"/>
        </w:numPr>
        <w:kinsoku/>
        <w:wordWrap/>
        <w:overflowPunct/>
        <w:topLinePunct w:val="0"/>
        <w:bidi w:val="0"/>
        <w:spacing w:line="600" w:lineRule="exact"/>
        <w:ind w:left="0" w:leftChars="0" w:right="0" w:firstLine="640" w:firstLineChars="200"/>
        <w:jc w:val="both"/>
        <w:textAlignment w:val="auto"/>
        <w:rPr>
          <w:rFonts w:hint="eastAsia" w:ascii="黑体" w:hAnsi="宋体" w:eastAsia="黑体" w:cs="黑体"/>
          <w:b w:val="0"/>
          <w:bCs w:val="0"/>
          <w:i w:val="0"/>
          <w:caps w:val="0"/>
          <w:color w:val="auto"/>
          <w:spacing w:val="0"/>
          <w:kern w:val="0"/>
          <w:sz w:val="32"/>
          <w:szCs w:val="32"/>
          <w:shd w:val="clear" w:color="auto" w:fill="auto"/>
          <w:lang w:val="en-US" w:eastAsia="zh-CN"/>
        </w:rPr>
      </w:pPr>
      <w:r>
        <w:rPr>
          <w:rFonts w:hint="eastAsia" w:ascii="黑体" w:hAnsi="宋体" w:eastAsia="黑体" w:cs="黑体"/>
          <w:b w:val="0"/>
          <w:bCs w:val="0"/>
          <w:i w:val="0"/>
          <w:caps w:val="0"/>
          <w:color w:val="auto"/>
          <w:spacing w:val="0"/>
          <w:kern w:val="0"/>
          <w:sz w:val="32"/>
          <w:szCs w:val="32"/>
          <w:shd w:val="clear" w:color="auto" w:fill="auto"/>
          <w:lang w:val="en-US" w:eastAsia="zh-CN"/>
        </w:rPr>
        <w:t>下一步工作打算</w:t>
      </w:r>
    </w:p>
    <w:p w14:paraId="63C8E2DC">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lang w:eastAsia="zh-CN"/>
        </w:rPr>
        <w:t>目前，巡察整改工作成效还是初步的、阶段性的</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eastAsia="zh-CN"/>
        </w:rPr>
        <w:t>接下来</w:t>
      </w:r>
      <w:r>
        <w:rPr>
          <w:rFonts w:hint="eastAsia" w:ascii="仿宋_GB2312" w:hAnsi="仿宋_GB2312" w:eastAsia="仿宋_GB2312" w:cs="仿宋_GB2312"/>
          <w:i w:val="0"/>
          <w:iCs w:val="0"/>
          <w:caps w:val="0"/>
          <w:color w:val="auto"/>
          <w:spacing w:val="0"/>
          <w:sz w:val="32"/>
          <w:szCs w:val="32"/>
          <w:highlight w:val="none"/>
        </w:rPr>
        <w:t>，</w:t>
      </w:r>
      <w:r>
        <w:rPr>
          <w:rFonts w:hint="eastAsia" w:ascii="仿宋_GB2312" w:hAnsi="仿宋_GB2312" w:eastAsia="仿宋_GB2312" w:cs="仿宋_GB2312"/>
          <w:i w:val="0"/>
          <w:iCs w:val="0"/>
          <w:caps w:val="0"/>
          <w:color w:val="auto"/>
          <w:spacing w:val="0"/>
          <w:sz w:val="32"/>
          <w:szCs w:val="32"/>
          <w:highlight w:val="none"/>
          <w:lang w:eastAsia="zh-CN"/>
        </w:rPr>
        <w:t>分局</w:t>
      </w:r>
      <w:r>
        <w:rPr>
          <w:rFonts w:hint="eastAsia" w:ascii="仿宋_GB2312" w:hAnsi="仿宋_GB2312" w:eastAsia="仿宋_GB2312" w:cs="仿宋_GB2312"/>
          <w:i w:val="0"/>
          <w:iCs w:val="0"/>
          <w:caps w:val="0"/>
          <w:color w:val="auto"/>
          <w:spacing w:val="0"/>
          <w:sz w:val="32"/>
          <w:szCs w:val="32"/>
          <w:highlight w:val="none"/>
        </w:rPr>
        <w:t>党委将</w:t>
      </w:r>
      <w:r>
        <w:rPr>
          <w:rFonts w:hint="eastAsia" w:ascii="仿宋_GB2312" w:hAnsi="仿宋_GB2312" w:eastAsia="仿宋_GB2312" w:cs="仿宋_GB2312"/>
          <w:i w:val="0"/>
          <w:iCs w:val="0"/>
          <w:caps w:val="0"/>
          <w:color w:val="auto"/>
          <w:spacing w:val="0"/>
          <w:sz w:val="32"/>
          <w:szCs w:val="32"/>
          <w:highlight w:val="none"/>
          <w:lang w:eastAsia="zh-CN"/>
        </w:rPr>
        <w:t>坚持以习近平新时代中国特色社会主义思想为指导</w:t>
      </w:r>
      <w:r>
        <w:rPr>
          <w:rFonts w:hint="eastAsia" w:ascii="仿宋_GB2312" w:hAnsi="仿宋_GB2312" w:eastAsia="仿宋_GB2312" w:cs="仿宋_GB2312"/>
          <w:i w:val="0"/>
          <w:iCs w:val="0"/>
          <w:caps w:val="0"/>
          <w:color w:val="auto"/>
          <w:spacing w:val="0"/>
          <w:sz w:val="32"/>
          <w:szCs w:val="32"/>
          <w:highlight w:val="none"/>
        </w:rPr>
        <w:t>，继续认真贯彻落实市委有关巡察工作的要求，坚持整改态度不变、整改标准不降、整改力度不减，持续推进整改落实工作，以整改的实际成效，推动全面从严治党全面从严治警不断向纵深发展。</w:t>
      </w:r>
    </w:p>
    <w:p w14:paraId="515206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楷体" w:hAnsi="楷体" w:eastAsia="楷体" w:cs="楷体"/>
          <w:i w:val="0"/>
          <w:iCs w:val="0"/>
          <w:caps w:val="0"/>
          <w:color w:val="auto"/>
          <w:spacing w:val="0"/>
          <w:kern w:val="2"/>
          <w:sz w:val="32"/>
          <w:szCs w:val="32"/>
          <w:shd w:val="clear" w:fill="FFFFFF"/>
          <w:lang w:val="en-US" w:eastAsia="zh-CN" w:bidi="ar-SA"/>
        </w:rPr>
        <w:t>（一）</w:t>
      </w:r>
      <w:r>
        <w:rPr>
          <w:rFonts w:hint="eastAsia" w:ascii="楷体" w:hAnsi="楷体" w:eastAsia="楷体" w:cs="楷体"/>
          <w:i w:val="0"/>
          <w:iCs w:val="0"/>
          <w:caps w:val="0"/>
          <w:color w:val="auto"/>
          <w:spacing w:val="0"/>
          <w:sz w:val="32"/>
          <w:szCs w:val="32"/>
          <w:highlight w:val="none"/>
          <w:shd w:val="clear" w:fill="FFFFFF"/>
        </w:rPr>
        <w:t>紧盯不放持续抓好后续整改。</w:t>
      </w:r>
      <w:r>
        <w:rPr>
          <w:rFonts w:hint="eastAsia" w:ascii="仿宋_GB2312" w:hAnsi="仿宋_GB2312" w:eastAsia="仿宋_GB2312" w:cs="仿宋_GB2312"/>
          <w:i w:val="0"/>
          <w:iCs w:val="0"/>
          <w:caps w:val="0"/>
          <w:color w:val="auto"/>
          <w:spacing w:val="0"/>
          <w:sz w:val="32"/>
          <w:szCs w:val="32"/>
          <w:highlight w:val="none"/>
          <w:shd w:val="clear" w:fill="FFFFFF"/>
        </w:rPr>
        <w:t>坚持把巡察整改作为推进全面从严治党的重要举措，坚决摒弃“过关”思想，坚持不懈地抓好推进落实，以更高的标准、更实的作风、更严的纪律统筹推进后续整改工作。坚持分类施策，对整改到位的具体问题事项，适时开展“回头看”，防止问题反弹回潮；对需要长期坚持的整改任务，紧抓不放，持续加强督导推进。同时，坚持把具体问题整改与构建长效机制有机结合起来，紧紧围绕巡察发现的突出问题和薄弱环节，及时剖析深层次原因，总结经验教训，举一反三，形成抓常抓长的制度规范和工作机制。</w:t>
      </w:r>
    </w:p>
    <w:p w14:paraId="7A95BC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楷体" w:hAnsi="楷体" w:eastAsia="楷体" w:cs="楷体"/>
          <w:i w:val="0"/>
          <w:iCs w:val="0"/>
          <w:caps w:val="0"/>
          <w:color w:val="auto"/>
          <w:spacing w:val="0"/>
          <w:kern w:val="2"/>
          <w:sz w:val="32"/>
          <w:szCs w:val="32"/>
          <w:shd w:val="clear" w:fill="FFFFFF"/>
          <w:lang w:val="en-US" w:eastAsia="zh-CN" w:bidi="ar-SA"/>
        </w:rPr>
        <w:t>（二）长管长严全面从严管党治警。</w:t>
      </w:r>
      <w:r>
        <w:rPr>
          <w:rFonts w:hint="eastAsia" w:ascii="仿宋_GB2312" w:hAnsi="仿宋_GB2312" w:eastAsia="仿宋_GB2312" w:cs="仿宋_GB2312"/>
          <w:i w:val="0"/>
          <w:iCs w:val="0"/>
          <w:caps w:val="0"/>
          <w:color w:val="auto"/>
          <w:spacing w:val="0"/>
          <w:sz w:val="32"/>
          <w:szCs w:val="32"/>
          <w:highlight w:val="none"/>
          <w:shd w:val="clear" w:fill="FFFFFF"/>
        </w:rPr>
        <w:t>坚持用习近平新时代中国特色社会主义思想</w:t>
      </w:r>
      <w:r>
        <w:rPr>
          <w:rFonts w:hint="eastAsia" w:ascii="仿宋_GB2312" w:hAnsi="仿宋_GB2312" w:eastAsia="仿宋_GB2312" w:cs="仿宋_GB2312"/>
          <w:i w:val="0"/>
          <w:iCs w:val="0"/>
          <w:caps w:val="0"/>
          <w:color w:val="auto"/>
          <w:spacing w:val="0"/>
          <w:sz w:val="32"/>
          <w:szCs w:val="32"/>
          <w:highlight w:val="none"/>
          <w:shd w:val="clear" w:fill="FFFFFF"/>
          <w:lang w:eastAsia="zh-CN"/>
        </w:rPr>
        <w:t>凝心聚魂</w:t>
      </w:r>
      <w:r>
        <w:rPr>
          <w:rFonts w:hint="eastAsia" w:ascii="仿宋_GB2312" w:hAnsi="仿宋_GB2312" w:eastAsia="仿宋_GB2312" w:cs="仿宋_GB2312"/>
          <w:i w:val="0"/>
          <w:iCs w:val="0"/>
          <w:caps w:val="0"/>
          <w:color w:val="auto"/>
          <w:spacing w:val="0"/>
          <w:sz w:val="32"/>
          <w:szCs w:val="32"/>
          <w:highlight w:val="none"/>
          <w:shd w:val="clear" w:fill="FFFFFF"/>
        </w:rPr>
        <w:t>，常态化开展忠诚教育、党性教育，夯实全警高举旗帜、听党指挥、忠诚使命的思想根基</w:t>
      </w:r>
      <w:r>
        <w:rPr>
          <w:rFonts w:hint="eastAsia" w:ascii="仿宋_GB2312" w:hAnsi="仿宋_GB2312" w:eastAsia="仿宋_GB2312" w:cs="仿宋_GB2312"/>
          <w:i w:val="0"/>
          <w:iCs w:val="0"/>
          <w:caps w:val="0"/>
          <w:color w:val="auto"/>
          <w:spacing w:val="0"/>
          <w:sz w:val="32"/>
          <w:szCs w:val="32"/>
          <w:highlight w:val="none"/>
          <w:shd w:val="clear" w:fill="FFFFFF"/>
          <w:lang w:eastAsia="zh-CN"/>
        </w:rPr>
        <w:t>。严格</w:t>
      </w:r>
      <w:r>
        <w:rPr>
          <w:rFonts w:hint="eastAsia" w:ascii="仿宋_GB2312" w:hAnsi="仿宋_GB2312" w:eastAsia="仿宋_GB2312" w:cs="仿宋_GB2312"/>
          <w:i w:val="0"/>
          <w:iCs w:val="0"/>
          <w:caps w:val="0"/>
          <w:color w:val="auto"/>
          <w:spacing w:val="0"/>
          <w:sz w:val="32"/>
          <w:szCs w:val="32"/>
          <w:highlight w:val="none"/>
          <w:shd w:val="clear" w:fill="FFFFFF"/>
        </w:rPr>
        <w:t>贯彻落实习近平总书记关于全面从严治党的重要论述，全面落实新时代党的建设总要求，坚持把党的政治建设摆在首位，严肃党内政治生活，</w:t>
      </w:r>
      <w:r>
        <w:rPr>
          <w:rFonts w:hint="eastAsia" w:ascii="仿宋_GB2312" w:hAnsi="仿宋_GB2312" w:eastAsia="仿宋_GB2312" w:cs="仿宋_GB2312"/>
          <w:i w:val="0"/>
          <w:iCs w:val="0"/>
          <w:caps w:val="0"/>
          <w:color w:val="auto"/>
          <w:spacing w:val="0"/>
          <w:sz w:val="32"/>
          <w:szCs w:val="32"/>
          <w:highlight w:val="none"/>
          <w:shd w:val="clear" w:fill="FFFFFF"/>
          <w:lang w:eastAsia="zh-CN"/>
        </w:rPr>
        <w:t>严格落实意识形态工作责任制，</w:t>
      </w:r>
      <w:r>
        <w:rPr>
          <w:rFonts w:hint="eastAsia" w:ascii="仿宋_GB2312" w:hAnsi="仿宋_GB2312" w:eastAsia="仿宋_GB2312" w:cs="仿宋_GB2312"/>
          <w:i w:val="0"/>
          <w:iCs w:val="0"/>
          <w:caps w:val="0"/>
          <w:color w:val="auto"/>
          <w:spacing w:val="0"/>
          <w:sz w:val="32"/>
          <w:szCs w:val="32"/>
          <w:highlight w:val="none"/>
          <w:shd w:val="clear" w:fill="FFFFFF"/>
        </w:rPr>
        <w:t>建立管思想、管工作、管作风、管纪律的从严管理体系</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着力锻造忠诚干净担当的新时代公安铁军</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坚持把扫黑除恶专项斗争与惩治“微腐败”相结合，深挖黑恶势力“保护伞”，坚决惩治群众身边的不正之风和腐败问题。</w:t>
      </w:r>
    </w:p>
    <w:p w14:paraId="09D4BC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楷体" w:hAnsi="楷体" w:eastAsia="楷体" w:cs="楷体"/>
          <w:i w:val="0"/>
          <w:iCs w:val="0"/>
          <w:caps w:val="0"/>
          <w:color w:val="auto"/>
          <w:spacing w:val="0"/>
          <w:kern w:val="2"/>
          <w:sz w:val="32"/>
          <w:szCs w:val="32"/>
          <w:shd w:val="clear" w:fill="FFFFFF"/>
          <w:lang w:val="en-US" w:eastAsia="zh-CN" w:bidi="ar-SA"/>
        </w:rPr>
        <w:t>（三）高水平推动公安工作现代化。</w:t>
      </w:r>
      <w:r>
        <w:rPr>
          <w:rFonts w:hint="eastAsia" w:ascii="仿宋_GB2312" w:hAnsi="仿宋_GB2312" w:eastAsia="仿宋_GB2312" w:cs="仿宋_GB2312"/>
          <w:i w:val="0"/>
          <w:iCs w:val="0"/>
          <w:caps w:val="0"/>
          <w:color w:val="auto"/>
          <w:spacing w:val="0"/>
          <w:sz w:val="32"/>
          <w:szCs w:val="32"/>
          <w:highlight w:val="none"/>
          <w:shd w:val="clear" w:fill="FFFFFF"/>
        </w:rPr>
        <w:t>紧抓时代机遇、紧扣时代脉搏，坚持把改革创新、强基固本作为推动公安工作现代化的动力引擎，把建立完善“专业+机制+大数据”新型警务运行模式作为关键性任务，在抓好新警务理念、新运行模式、新技术装备、新管理体系上狠下功夫，加快提升公安机关新质战斗力。持续深化科技强警应用，推动数据警务、智慧警务赋能打防管控。不断强化公安机关执法规范化建设，努力使公安工作法治化水平和执法公信力得到新的提升。</w:t>
      </w:r>
      <w:r>
        <w:rPr>
          <w:rFonts w:hint="eastAsia" w:ascii="仿宋_GB2312" w:hAnsi="仿宋_GB2312" w:eastAsia="仿宋_GB2312" w:cs="仿宋_GB2312"/>
          <w:i w:val="0"/>
          <w:iCs w:val="0"/>
          <w:caps w:val="0"/>
          <w:color w:val="auto"/>
          <w:spacing w:val="0"/>
          <w:sz w:val="32"/>
          <w:szCs w:val="32"/>
          <w:highlight w:val="none"/>
          <w:shd w:val="clear" w:fill="FFFFFF"/>
          <w:lang w:eastAsia="zh-CN"/>
        </w:rPr>
        <w:t>持续</w:t>
      </w:r>
      <w:r>
        <w:rPr>
          <w:rFonts w:hint="eastAsia" w:ascii="仿宋_GB2312" w:hAnsi="仿宋_GB2312" w:eastAsia="仿宋_GB2312" w:cs="仿宋_GB2312"/>
          <w:i w:val="0"/>
          <w:iCs w:val="0"/>
          <w:caps w:val="0"/>
          <w:color w:val="auto"/>
          <w:spacing w:val="0"/>
          <w:sz w:val="32"/>
          <w:szCs w:val="32"/>
          <w:highlight w:val="none"/>
          <w:shd w:val="clear" w:fill="FFFFFF"/>
        </w:rPr>
        <w:t>推进公安“放管服”改革，进一步创优</w:t>
      </w:r>
      <w:r>
        <w:rPr>
          <w:rFonts w:hint="eastAsia" w:ascii="仿宋_GB2312" w:hAnsi="仿宋_GB2312" w:eastAsia="仿宋_GB2312" w:cs="仿宋_GB2312"/>
          <w:i w:val="0"/>
          <w:iCs w:val="0"/>
          <w:caps w:val="0"/>
          <w:color w:val="auto"/>
          <w:spacing w:val="0"/>
          <w:sz w:val="32"/>
          <w:szCs w:val="32"/>
          <w:highlight w:val="none"/>
          <w:shd w:val="clear" w:fill="FFFFFF"/>
          <w:lang w:eastAsia="zh-CN"/>
        </w:rPr>
        <w:t>辖区</w:t>
      </w:r>
      <w:r>
        <w:rPr>
          <w:rFonts w:hint="eastAsia" w:ascii="仿宋_GB2312" w:hAnsi="仿宋_GB2312" w:eastAsia="仿宋_GB2312" w:cs="仿宋_GB2312"/>
          <w:i w:val="0"/>
          <w:iCs w:val="0"/>
          <w:caps w:val="0"/>
          <w:color w:val="auto"/>
          <w:spacing w:val="0"/>
          <w:sz w:val="32"/>
          <w:szCs w:val="32"/>
          <w:highlight w:val="none"/>
          <w:shd w:val="clear" w:fill="FFFFFF"/>
        </w:rPr>
        <w:t>营商环境</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提升人民群众获得感、满意度。</w:t>
      </w:r>
    </w:p>
    <w:p w14:paraId="66AAF75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0"/>
        <w:textAlignment w:val="auto"/>
        <w:rPr>
          <w:rFonts w:hint="eastAsia" w:ascii="Times New Roman" w:hAnsi="Times New Roman" w:eastAsia="仿宋_GB2312" w:cs="Times New Roman"/>
          <w:snapToGrid w:val="0"/>
          <w:color w:val="auto"/>
          <w:spacing w:val="6"/>
          <w:kern w:val="32"/>
          <w:sz w:val="32"/>
          <w:szCs w:val="32"/>
          <w:lang w:eastAsia="zh-CN"/>
        </w:rPr>
      </w:pPr>
      <w:r>
        <w:rPr>
          <w:rFonts w:hint="eastAsia" w:ascii="楷体" w:hAnsi="楷体" w:eastAsia="楷体" w:cs="楷体"/>
          <w:i w:val="0"/>
          <w:iCs w:val="0"/>
          <w:caps w:val="0"/>
          <w:color w:val="auto"/>
          <w:spacing w:val="0"/>
          <w:kern w:val="2"/>
          <w:sz w:val="32"/>
          <w:szCs w:val="32"/>
          <w:shd w:val="clear" w:fill="FFFFFF"/>
          <w:lang w:val="en-US" w:eastAsia="zh-CN" w:bidi="ar-SA"/>
        </w:rPr>
        <w:t>（四）忠诚履行好新时代职责使命。</w:t>
      </w:r>
      <w:r>
        <w:rPr>
          <w:rFonts w:hint="eastAsia" w:ascii="仿宋_GB2312" w:hAnsi="仿宋_GB2312" w:eastAsia="仿宋_GB2312" w:cs="仿宋_GB2312"/>
          <w:i w:val="0"/>
          <w:iCs w:val="0"/>
          <w:caps w:val="0"/>
          <w:color w:val="auto"/>
          <w:spacing w:val="0"/>
          <w:sz w:val="32"/>
          <w:szCs w:val="32"/>
          <w:highlight w:val="none"/>
          <w:shd w:val="clear" w:fill="FFFFFF"/>
        </w:rPr>
        <w:t>把巡察整改成果与推动</w:t>
      </w:r>
      <w:r>
        <w:rPr>
          <w:rFonts w:hint="eastAsia" w:ascii="仿宋_GB2312" w:hAnsi="仿宋_GB2312" w:eastAsia="仿宋_GB2312" w:cs="仿宋_GB2312"/>
          <w:i w:val="0"/>
          <w:iCs w:val="0"/>
          <w:caps w:val="0"/>
          <w:color w:val="auto"/>
          <w:spacing w:val="0"/>
          <w:sz w:val="32"/>
          <w:szCs w:val="32"/>
          <w:highlight w:val="none"/>
          <w:shd w:val="clear" w:fill="FFFFFF"/>
          <w:lang w:eastAsia="zh-CN"/>
        </w:rPr>
        <w:t>横栏公安高质量</w:t>
      </w:r>
      <w:r>
        <w:rPr>
          <w:rFonts w:hint="eastAsia" w:ascii="仿宋_GB2312" w:hAnsi="仿宋_GB2312" w:eastAsia="仿宋_GB2312" w:cs="仿宋_GB2312"/>
          <w:i w:val="0"/>
          <w:iCs w:val="0"/>
          <w:caps w:val="0"/>
          <w:color w:val="auto"/>
          <w:spacing w:val="0"/>
          <w:sz w:val="32"/>
          <w:szCs w:val="32"/>
          <w:highlight w:val="none"/>
          <w:shd w:val="clear" w:fill="FFFFFF"/>
        </w:rPr>
        <w:t>发展有机结合起来，聚焦</w:t>
      </w:r>
      <w:r>
        <w:rPr>
          <w:rFonts w:hint="eastAsia" w:ascii="仿宋_GB2312" w:hAnsi="仿宋_GB2312" w:eastAsia="仿宋_GB2312" w:cs="仿宋_GB2312"/>
          <w:i w:val="0"/>
          <w:iCs w:val="0"/>
          <w:caps w:val="0"/>
          <w:color w:val="auto"/>
          <w:spacing w:val="0"/>
          <w:sz w:val="32"/>
          <w:szCs w:val="32"/>
          <w:highlight w:val="none"/>
          <w:shd w:val="clear" w:fill="FFFFFF"/>
          <w:lang w:eastAsia="zh-CN"/>
        </w:rPr>
        <w:t>党和人民赋予的</w:t>
      </w:r>
      <w:r>
        <w:rPr>
          <w:rFonts w:hint="eastAsia" w:ascii="仿宋_GB2312" w:hAnsi="仿宋_GB2312" w:eastAsia="仿宋_GB2312" w:cs="仿宋_GB2312"/>
          <w:i w:val="0"/>
          <w:iCs w:val="0"/>
          <w:caps w:val="0"/>
          <w:color w:val="auto"/>
          <w:spacing w:val="0"/>
          <w:sz w:val="32"/>
          <w:szCs w:val="32"/>
          <w:highlight w:val="none"/>
          <w:shd w:val="clear" w:fill="FFFFFF"/>
        </w:rPr>
        <w:t>捍卫政治安全、维护社会安定、保障人民安宁的新时代使命任务，</w:t>
      </w:r>
      <w:r>
        <w:rPr>
          <w:rFonts w:hint="eastAsia" w:ascii="仿宋_GB2312" w:hAnsi="仿宋_GB2312" w:eastAsia="仿宋_GB2312" w:cs="仿宋_GB2312"/>
          <w:i w:val="0"/>
          <w:iCs w:val="0"/>
          <w:caps w:val="0"/>
          <w:color w:val="auto"/>
          <w:spacing w:val="0"/>
          <w:sz w:val="32"/>
          <w:szCs w:val="32"/>
          <w:highlight w:val="none"/>
          <w:shd w:val="clear" w:fill="FFFFFF"/>
          <w:lang w:eastAsia="zh-CN"/>
        </w:rPr>
        <w:t>紧紧围绕市委“三大攻坚战”和“百千万工程”等部署要求，</w:t>
      </w:r>
      <w:r>
        <w:rPr>
          <w:rFonts w:hint="eastAsia" w:ascii="仿宋_GB2312" w:hAnsi="仿宋_GB2312" w:eastAsia="仿宋_GB2312" w:cs="仿宋_GB2312"/>
          <w:i w:val="0"/>
          <w:iCs w:val="0"/>
          <w:caps w:val="0"/>
          <w:color w:val="auto"/>
          <w:spacing w:val="0"/>
          <w:sz w:val="32"/>
          <w:szCs w:val="32"/>
          <w:highlight w:val="none"/>
          <w:shd w:val="clear" w:fill="FFFFFF"/>
        </w:rPr>
        <w:t>强化</w:t>
      </w:r>
      <w:r>
        <w:rPr>
          <w:rFonts w:hint="eastAsia" w:ascii="仿宋_GB2312" w:hAnsi="仿宋_GB2312" w:eastAsia="仿宋_GB2312" w:cs="仿宋_GB2312"/>
          <w:i w:val="0"/>
          <w:iCs w:val="0"/>
          <w:caps w:val="0"/>
          <w:color w:val="auto"/>
          <w:spacing w:val="0"/>
          <w:sz w:val="32"/>
          <w:szCs w:val="32"/>
          <w:highlight w:val="none"/>
          <w:shd w:val="clear" w:fill="FFFFFF"/>
          <w:lang w:eastAsia="zh-CN"/>
        </w:rPr>
        <w:t>使命</w:t>
      </w:r>
      <w:r>
        <w:rPr>
          <w:rFonts w:hint="eastAsia" w:ascii="仿宋_GB2312" w:hAnsi="仿宋_GB2312" w:eastAsia="仿宋_GB2312" w:cs="仿宋_GB2312"/>
          <w:i w:val="0"/>
          <w:iCs w:val="0"/>
          <w:caps w:val="0"/>
          <w:color w:val="auto"/>
          <w:spacing w:val="0"/>
          <w:sz w:val="32"/>
          <w:szCs w:val="32"/>
          <w:highlight w:val="none"/>
          <w:shd w:val="clear" w:fill="FFFFFF"/>
        </w:rPr>
        <w:t>担当、忠诚履职尽责，以永不懈怠的精神状态和一往无前的奋斗姿态抓细抓实防风险、保安全、护稳定各项工作，</w:t>
      </w:r>
      <w:r>
        <w:rPr>
          <w:rFonts w:hint="eastAsia" w:ascii="仿宋_GB2312" w:hAnsi="仿宋_GB2312" w:eastAsia="仿宋_GB2312" w:cs="仿宋_GB2312"/>
          <w:i w:val="0"/>
          <w:iCs w:val="0"/>
          <w:caps w:val="0"/>
          <w:color w:val="auto"/>
          <w:spacing w:val="0"/>
          <w:sz w:val="32"/>
          <w:szCs w:val="32"/>
          <w:highlight w:val="none"/>
          <w:shd w:val="clear" w:fill="FFFFFF"/>
          <w:lang w:eastAsia="zh-CN"/>
        </w:rPr>
        <w:t>以辖区平安稳定的实绩实效为横栏经济高质量发展保驾护航，为平安中山、</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法治</w:t>
      </w:r>
      <w:r>
        <w:rPr>
          <w:rFonts w:hint="eastAsia" w:ascii="仿宋_GB2312" w:hAnsi="仿宋_GB2312" w:eastAsia="仿宋_GB2312" w:cs="仿宋_GB2312"/>
          <w:i w:val="0"/>
          <w:iCs w:val="0"/>
          <w:caps w:val="0"/>
          <w:color w:val="auto"/>
          <w:spacing w:val="0"/>
          <w:sz w:val="32"/>
          <w:szCs w:val="32"/>
          <w:highlight w:val="none"/>
          <w:shd w:val="clear" w:fill="FFFFFF"/>
          <w:lang w:eastAsia="zh-CN"/>
        </w:rPr>
        <w:t>中山建设贡献横栏公安力量！</w:t>
      </w:r>
    </w:p>
    <w:p w14:paraId="6967C770">
      <w:pPr>
        <w:keepLines w:val="0"/>
        <w:pageBreakBefore w:val="0"/>
        <w:kinsoku/>
        <w:wordWrap/>
        <w:overflowPunct w:val="0"/>
        <w:topLinePunct w:val="0"/>
        <w:autoSpaceDE w:val="0"/>
        <w:autoSpaceDN w:val="0"/>
        <w:bidi w:val="0"/>
        <w:adjustRightInd w:val="0"/>
        <w:snapToGrid w:val="0"/>
        <w:spacing w:line="600" w:lineRule="exact"/>
        <w:ind w:left="0" w:leftChars="0" w:right="0" w:firstLine="664" w:firstLineChars="200"/>
        <w:jc w:val="both"/>
        <w:textAlignment w:val="auto"/>
        <w:rPr>
          <w:rFonts w:hint="default" w:ascii="Times New Roman" w:hAnsi="Times New Roman" w:eastAsia="仿宋_GB2312" w:cs="Times New Roman"/>
          <w:snapToGrid w:val="0"/>
          <w:color w:val="auto"/>
          <w:spacing w:val="6"/>
          <w:kern w:val="32"/>
          <w:sz w:val="32"/>
          <w:szCs w:val="32"/>
          <w:lang w:val="en-US" w:eastAsia="zh-CN"/>
        </w:rPr>
      </w:pPr>
      <w:r>
        <w:rPr>
          <w:rFonts w:hint="eastAsia" w:ascii="Times New Roman" w:hAnsi="Times New Roman" w:eastAsia="仿宋_GB2312" w:cs="Times New Roman"/>
          <w:snapToGrid w:val="0"/>
          <w:color w:val="auto"/>
          <w:spacing w:val="6"/>
          <w:kern w:val="32"/>
          <w:sz w:val="32"/>
          <w:szCs w:val="32"/>
          <w:lang w:eastAsia="zh-CN"/>
        </w:rPr>
        <w:t>欢迎广大干部群众对巡察整改落实情况进行监督。如有意见建议，请及时向我们反映。公开期限：</w:t>
      </w:r>
      <w:r>
        <w:rPr>
          <w:rFonts w:hint="eastAsia" w:ascii="Times New Roman" w:hAnsi="Times New Roman" w:eastAsia="仿宋_GB2312" w:cs="Times New Roman"/>
          <w:snapToGrid w:val="0"/>
          <w:color w:val="auto"/>
          <w:spacing w:val="6"/>
          <w:kern w:val="32"/>
          <w:sz w:val="32"/>
          <w:szCs w:val="32"/>
          <w:lang w:val="en-US" w:eastAsia="zh-CN"/>
        </w:rPr>
        <w:t>2025年4月27日至5月11日。联系电话：0760-23189766（工作时间）；邮政信箱：中山市横栏镇景帝路7号政工监督室（信封上注明“对中共中山市公安局横栏分局委员会关于巡察整改落实情况的意见建议”）；邮政编码：528400；电子邮箱：zssgajhlfj@163.com。</w:t>
      </w:r>
    </w:p>
    <w:p w14:paraId="50856164">
      <w:pPr>
        <w:keepLines w:val="0"/>
        <w:pageBreakBefore w:val="0"/>
        <w:kinsoku/>
        <w:wordWrap/>
        <w:overflowPunct w:val="0"/>
        <w:topLinePunct w:val="0"/>
        <w:autoSpaceDE w:val="0"/>
        <w:autoSpaceDN w:val="0"/>
        <w:bidi w:val="0"/>
        <w:adjustRightInd w:val="0"/>
        <w:snapToGrid w:val="0"/>
        <w:spacing w:line="600" w:lineRule="exact"/>
        <w:ind w:left="0" w:leftChars="0" w:right="0" w:firstLine="0" w:firstLineChars="0"/>
        <w:jc w:val="left"/>
        <w:textAlignment w:val="auto"/>
        <w:rPr>
          <w:rFonts w:hint="eastAsia" w:ascii="Times New Roman" w:hAnsi="Times New Roman" w:eastAsia="仿宋_GB2312" w:cs="Times New Roman"/>
          <w:snapToGrid w:val="0"/>
          <w:color w:val="auto"/>
          <w:spacing w:val="6"/>
          <w:kern w:val="32"/>
          <w:sz w:val="32"/>
          <w:szCs w:val="32"/>
          <w:lang w:eastAsia="zh-CN"/>
        </w:rPr>
      </w:pPr>
    </w:p>
    <w:p w14:paraId="5E3F38B5">
      <w:pPr>
        <w:keepLines w:val="0"/>
        <w:pageBreakBefore w:val="0"/>
        <w:kinsoku/>
        <w:wordWrap w:val="0"/>
        <w:overflowPunct w:val="0"/>
        <w:topLinePunct w:val="0"/>
        <w:autoSpaceDE w:val="0"/>
        <w:autoSpaceDN w:val="0"/>
        <w:bidi w:val="0"/>
        <w:adjustRightInd w:val="0"/>
        <w:snapToGrid w:val="0"/>
        <w:spacing w:line="600" w:lineRule="exact"/>
        <w:ind w:left="0" w:leftChars="0" w:right="0" w:firstLine="664" w:firstLineChars="200"/>
        <w:jc w:val="right"/>
        <w:textAlignment w:val="auto"/>
        <w:rPr>
          <w:rFonts w:hint="default" w:ascii="Times New Roman" w:hAnsi="仿宋_GB2312" w:eastAsia="仿宋_GB2312" w:cs="Times New Roman"/>
          <w:snapToGrid w:val="0"/>
          <w:color w:val="auto"/>
          <w:spacing w:val="6"/>
          <w:kern w:val="32"/>
          <w:sz w:val="32"/>
          <w:szCs w:val="32"/>
          <w:lang w:val="en-US" w:eastAsia="zh-CN"/>
        </w:rPr>
      </w:pPr>
      <w:r>
        <w:rPr>
          <w:rFonts w:ascii="Times New Roman" w:hAnsi="Times New Roman" w:eastAsia="仿宋_GB2312" w:cs="Times New Roman"/>
          <w:snapToGrid w:val="0"/>
          <w:color w:val="auto"/>
          <w:spacing w:val="6"/>
          <w:kern w:val="32"/>
          <w:sz w:val="32"/>
          <w:szCs w:val="32"/>
        </w:rPr>
        <w:t>中共</w:t>
      </w:r>
      <w:r>
        <w:rPr>
          <w:rFonts w:hint="eastAsia" w:ascii="Times New Roman" w:hAnsi="Times New Roman" w:eastAsia="仿宋_GB2312" w:cs="Times New Roman"/>
          <w:snapToGrid w:val="0"/>
          <w:color w:val="auto"/>
          <w:spacing w:val="6"/>
          <w:kern w:val="32"/>
          <w:sz w:val="32"/>
          <w:szCs w:val="32"/>
        </w:rPr>
        <w:t>中山市公安局横栏分局</w:t>
      </w:r>
      <w:r>
        <w:rPr>
          <w:rFonts w:ascii="Times New Roman" w:hAnsi="Times New Roman" w:eastAsia="仿宋_GB2312" w:cs="Times New Roman"/>
          <w:snapToGrid w:val="0"/>
          <w:color w:val="auto"/>
          <w:spacing w:val="6"/>
          <w:kern w:val="32"/>
          <w:sz w:val="32"/>
          <w:szCs w:val="32"/>
        </w:rPr>
        <w:t xml:space="preserve">委员会  </w:t>
      </w:r>
      <w:r>
        <w:rPr>
          <w:rFonts w:hint="eastAsia" w:ascii="Times New Roman" w:hAnsi="Times New Roman" w:eastAsia="仿宋_GB2312" w:cs="Times New Roman"/>
          <w:snapToGrid w:val="0"/>
          <w:color w:val="auto"/>
          <w:spacing w:val="6"/>
          <w:kern w:val="32"/>
          <w:sz w:val="32"/>
          <w:szCs w:val="32"/>
          <w:lang w:val="en-US" w:eastAsia="zh-CN"/>
        </w:rPr>
        <w:t xml:space="preserve">  </w:t>
      </w:r>
    </w:p>
    <w:p w14:paraId="519344E8">
      <w:pPr>
        <w:keepLines w:val="0"/>
        <w:pageBreakBefore w:val="0"/>
        <w:kinsoku/>
        <w:wordWrap w:val="0"/>
        <w:overflowPunct w:val="0"/>
        <w:topLinePunct w:val="0"/>
        <w:autoSpaceDE w:val="0"/>
        <w:autoSpaceDN w:val="0"/>
        <w:bidi w:val="0"/>
        <w:adjustRightInd w:val="0"/>
        <w:snapToGrid w:val="0"/>
        <w:spacing w:line="600" w:lineRule="exact"/>
        <w:ind w:left="0" w:leftChars="0" w:right="0"/>
        <w:jc w:val="right"/>
        <w:textAlignment w:val="auto"/>
        <w:rPr>
          <w:rFonts w:hint="eastAsia" w:ascii="Times New Roman" w:hAnsi="Times New Roman" w:eastAsia="仿宋_GB2312" w:cs="Times New Roman"/>
          <w:snapToGrid w:val="0"/>
          <w:color w:val="auto"/>
          <w:spacing w:val="6"/>
          <w:kern w:val="32"/>
          <w:sz w:val="32"/>
          <w:szCs w:val="32"/>
          <w:lang w:val="en-US" w:eastAsia="zh-CN"/>
        </w:rPr>
      </w:pPr>
      <w:r>
        <w:rPr>
          <w:rFonts w:ascii="Times New Roman" w:hAnsi="Times New Roman" w:eastAsia="仿宋_GB2312" w:cs="Times New Roman"/>
          <w:snapToGrid w:val="0"/>
          <w:color w:val="auto"/>
          <w:spacing w:val="6"/>
          <w:kern w:val="32"/>
          <w:sz w:val="32"/>
          <w:szCs w:val="32"/>
        </w:rPr>
        <w:t>202</w:t>
      </w:r>
      <w:r>
        <w:rPr>
          <w:rFonts w:hint="eastAsia" w:ascii="Times New Roman" w:hAnsi="Times New Roman" w:eastAsia="仿宋_GB2312" w:cs="Times New Roman"/>
          <w:snapToGrid w:val="0"/>
          <w:color w:val="auto"/>
          <w:spacing w:val="6"/>
          <w:kern w:val="32"/>
          <w:sz w:val="32"/>
          <w:szCs w:val="32"/>
          <w:lang w:val="en-US" w:eastAsia="zh-CN"/>
        </w:rPr>
        <w:t>5</w:t>
      </w:r>
      <w:r>
        <w:rPr>
          <w:rFonts w:ascii="Times New Roman" w:hAnsi="Times New Roman" w:eastAsia="仿宋_GB2312" w:cs="Times New Roman"/>
          <w:snapToGrid w:val="0"/>
          <w:color w:val="auto"/>
          <w:spacing w:val="6"/>
          <w:kern w:val="32"/>
          <w:sz w:val="32"/>
          <w:szCs w:val="32"/>
        </w:rPr>
        <w:t>年</w:t>
      </w:r>
      <w:r>
        <w:rPr>
          <w:rFonts w:hint="eastAsia" w:ascii="Times New Roman" w:hAnsi="Times New Roman" w:eastAsia="仿宋_GB2312" w:cs="Times New Roman"/>
          <w:snapToGrid w:val="0"/>
          <w:color w:val="auto"/>
          <w:spacing w:val="6"/>
          <w:kern w:val="32"/>
          <w:sz w:val="32"/>
          <w:szCs w:val="32"/>
          <w:lang w:val="en-US" w:eastAsia="zh-CN"/>
        </w:rPr>
        <w:t>4</w:t>
      </w:r>
      <w:r>
        <w:rPr>
          <w:rFonts w:ascii="Times New Roman" w:hAnsi="Times New Roman" w:eastAsia="仿宋_GB2312" w:cs="Times New Roman"/>
          <w:snapToGrid w:val="0"/>
          <w:color w:val="auto"/>
          <w:spacing w:val="6"/>
          <w:kern w:val="32"/>
          <w:sz w:val="32"/>
          <w:szCs w:val="32"/>
        </w:rPr>
        <w:t>月</w:t>
      </w:r>
      <w:r>
        <w:rPr>
          <w:rFonts w:hint="eastAsia" w:ascii="Times New Roman" w:hAnsi="Times New Roman" w:eastAsia="仿宋_GB2312" w:cs="Times New Roman"/>
          <w:snapToGrid w:val="0"/>
          <w:color w:val="auto"/>
          <w:spacing w:val="6"/>
          <w:kern w:val="32"/>
          <w:sz w:val="32"/>
          <w:szCs w:val="32"/>
          <w:lang w:val="en-US" w:eastAsia="zh-CN"/>
        </w:rPr>
        <w:t>27</w:t>
      </w:r>
      <w:r>
        <w:rPr>
          <w:rFonts w:ascii="Times New Roman" w:hAnsi="Times New Roman" w:eastAsia="仿宋_GB2312" w:cs="Times New Roman"/>
          <w:snapToGrid w:val="0"/>
          <w:color w:val="auto"/>
          <w:spacing w:val="6"/>
          <w:kern w:val="32"/>
          <w:sz w:val="32"/>
          <w:szCs w:val="32"/>
        </w:rPr>
        <w:t>日</w:t>
      </w:r>
      <w:r>
        <w:rPr>
          <w:rFonts w:hint="eastAsia" w:ascii="Times New Roman" w:hAnsi="Times New Roman" w:eastAsia="仿宋_GB2312" w:cs="Times New Roman"/>
          <w:snapToGrid w:val="0"/>
          <w:color w:val="auto"/>
          <w:spacing w:val="6"/>
          <w:kern w:val="32"/>
          <w:sz w:val="32"/>
          <w:szCs w:val="32"/>
          <w:lang w:val="en-US" w:eastAsia="zh-CN"/>
        </w:rPr>
        <w:t xml:space="preserve">            </w:t>
      </w:r>
    </w:p>
    <w:p w14:paraId="4B7EA2A5">
      <w:pPr>
        <w:keepLines w:val="0"/>
        <w:pageBreakBefore w:val="0"/>
        <w:kinsoku/>
        <w:wordWrap/>
        <w:overflowPunct w:val="0"/>
        <w:topLinePunct w:val="0"/>
        <w:autoSpaceDE w:val="0"/>
        <w:autoSpaceDN w:val="0"/>
        <w:bidi w:val="0"/>
        <w:adjustRightInd w:val="0"/>
        <w:snapToGrid w:val="0"/>
        <w:spacing w:line="600" w:lineRule="exact"/>
        <w:ind w:left="0" w:leftChars="0" w:right="0"/>
        <w:jc w:val="right"/>
        <w:textAlignment w:val="auto"/>
        <w:rPr>
          <w:rFonts w:hint="eastAsia" w:ascii="Times New Roman" w:hAnsi="Times New Roman" w:eastAsia="仿宋_GB2312" w:cs="Times New Roman"/>
          <w:snapToGrid w:val="0"/>
          <w:color w:val="auto"/>
          <w:spacing w:val="6"/>
          <w:kern w:val="32"/>
          <w:sz w:val="32"/>
          <w:szCs w:val="32"/>
          <w:lang w:val="en-US" w:eastAsia="zh-CN"/>
        </w:rPr>
      </w:pPr>
    </w:p>
    <w:p w14:paraId="60DFD1A4">
      <w:pPr>
        <w:keepLines w:val="0"/>
        <w:pageBreakBefore w:val="0"/>
        <w:kinsoku/>
        <w:wordWrap/>
        <w:overflowPunct w:val="0"/>
        <w:topLinePunct w:val="0"/>
        <w:autoSpaceDE w:val="0"/>
        <w:autoSpaceDN w:val="0"/>
        <w:bidi w:val="0"/>
        <w:adjustRightInd w:val="0"/>
        <w:snapToGrid w:val="0"/>
        <w:spacing w:line="600" w:lineRule="exact"/>
        <w:ind w:left="0" w:leftChars="0" w:right="0"/>
        <w:jc w:val="right"/>
        <w:textAlignment w:val="auto"/>
        <w:rPr>
          <w:rFonts w:hint="eastAsia" w:ascii="Times New Roman" w:hAnsi="Times New Roman" w:eastAsia="仿宋_GB2312" w:cs="Times New Roman"/>
          <w:snapToGrid w:val="0"/>
          <w:color w:val="auto"/>
          <w:spacing w:val="6"/>
          <w:kern w:val="32"/>
          <w:sz w:val="32"/>
          <w:szCs w:val="32"/>
          <w:lang w:val="en-US" w:eastAsia="zh-CN"/>
        </w:rPr>
      </w:pPr>
    </w:p>
    <w:p w14:paraId="79515F35">
      <w:pPr>
        <w:keepLines w:val="0"/>
        <w:pageBreakBefore w:val="0"/>
        <w:kinsoku/>
        <w:wordWrap/>
        <w:overflowPunct w:val="0"/>
        <w:topLinePunct w:val="0"/>
        <w:autoSpaceDE w:val="0"/>
        <w:autoSpaceDN w:val="0"/>
        <w:bidi w:val="0"/>
        <w:adjustRightInd w:val="0"/>
        <w:snapToGrid w:val="0"/>
        <w:spacing w:line="600" w:lineRule="exact"/>
        <w:ind w:left="0" w:leftChars="0" w:right="0"/>
        <w:jc w:val="right"/>
        <w:textAlignment w:val="auto"/>
        <w:rPr>
          <w:rFonts w:hint="eastAsia" w:ascii="Times New Roman" w:hAnsi="Times New Roman" w:eastAsia="仿宋_GB2312" w:cs="Times New Roman"/>
          <w:snapToGrid w:val="0"/>
          <w:color w:val="auto"/>
          <w:spacing w:val="6"/>
          <w:kern w:val="32"/>
          <w:sz w:val="32"/>
          <w:szCs w:val="32"/>
          <w:lang w:val="en-US" w:eastAsia="zh-CN"/>
        </w:rPr>
      </w:pPr>
    </w:p>
    <w:p w14:paraId="18F755FD">
      <w:pPr>
        <w:keepLines w:val="0"/>
        <w:pageBreakBefore w:val="0"/>
        <w:kinsoku/>
        <w:wordWrap/>
        <w:overflowPunct w:val="0"/>
        <w:topLinePunct w:val="0"/>
        <w:autoSpaceDE w:val="0"/>
        <w:autoSpaceDN w:val="0"/>
        <w:bidi w:val="0"/>
        <w:adjustRightInd w:val="0"/>
        <w:snapToGrid w:val="0"/>
        <w:spacing w:line="600" w:lineRule="exact"/>
        <w:ind w:left="0" w:leftChars="0" w:right="0"/>
        <w:jc w:val="right"/>
        <w:textAlignment w:val="auto"/>
        <w:rPr>
          <w:rFonts w:hint="eastAsia" w:ascii="Times New Roman" w:hAnsi="Times New Roman" w:eastAsia="仿宋_GB2312" w:cs="Times New Roman"/>
          <w:snapToGrid w:val="0"/>
          <w:color w:val="auto"/>
          <w:spacing w:val="6"/>
          <w:kern w:val="32"/>
          <w:sz w:val="32"/>
          <w:szCs w:val="32"/>
          <w:lang w:val="en-US" w:eastAsia="zh-CN"/>
        </w:rPr>
      </w:pPr>
    </w:p>
    <w:p w14:paraId="4FF21A0D">
      <w:pPr>
        <w:rPr>
          <w:rFonts w:hint="eastAsia" w:ascii="仿宋_GB2312" w:hAnsi="仿宋_GB2312" w:eastAsia="仿宋_GB2312" w:cs="仿宋_GB2312"/>
          <w:color w:val="auto"/>
          <w:sz w:val="2"/>
          <w:szCs w:val="2"/>
          <w:lang w:val="en-US" w:eastAsia="zh-CN"/>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公文小标宋简">
    <w:altName w:val="方正小标宋简体"/>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11112">
    <w:pPr>
      <w:pStyle w:val="5"/>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6E4B6AD">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46E4B6AD">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707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NjNhNTJlYzYxNmFlMzE3YWE1N2MzMzgzNjA2MmEifQ=="/>
  </w:docVars>
  <w:rsids>
    <w:rsidRoot w:val="00000000"/>
    <w:rsid w:val="01595A05"/>
    <w:rsid w:val="02434F14"/>
    <w:rsid w:val="034B43A1"/>
    <w:rsid w:val="07064996"/>
    <w:rsid w:val="0CD101CC"/>
    <w:rsid w:val="0D9B78EC"/>
    <w:rsid w:val="0DCE27BC"/>
    <w:rsid w:val="0EE2047F"/>
    <w:rsid w:val="0F531DB5"/>
    <w:rsid w:val="0F7A3F96"/>
    <w:rsid w:val="0F9658D6"/>
    <w:rsid w:val="0FB54CA9"/>
    <w:rsid w:val="0FD89FE1"/>
    <w:rsid w:val="10752F27"/>
    <w:rsid w:val="12157C38"/>
    <w:rsid w:val="1279354C"/>
    <w:rsid w:val="13832D42"/>
    <w:rsid w:val="13DB4EE2"/>
    <w:rsid w:val="15FA3544"/>
    <w:rsid w:val="174F6BCB"/>
    <w:rsid w:val="18F86F87"/>
    <w:rsid w:val="19714006"/>
    <w:rsid w:val="1A135155"/>
    <w:rsid w:val="1BDE89E0"/>
    <w:rsid w:val="1CFD896C"/>
    <w:rsid w:val="1DEF692A"/>
    <w:rsid w:val="1ECDCFAE"/>
    <w:rsid w:val="1F1F724B"/>
    <w:rsid w:val="268D2707"/>
    <w:rsid w:val="27EF49CE"/>
    <w:rsid w:val="28D71E04"/>
    <w:rsid w:val="29726A7D"/>
    <w:rsid w:val="29EA31D2"/>
    <w:rsid w:val="2AB64983"/>
    <w:rsid w:val="2ADF19E2"/>
    <w:rsid w:val="2BBD5130"/>
    <w:rsid w:val="2CFB2B0A"/>
    <w:rsid w:val="2E5A1BFB"/>
    <w:rsid w:val="2E5E358E"/>
    <w:rsid w:val="2EBFD0FE"/>
    <w:rsid w:val="2ECF867C"/>
    <w:rsid w:val="2F1E1ACE"/>
    <w:rsid w:val="2F957634"/>
    <w:rsid w:val="2FD7E0CB"/>
    <w:rsid w:val="2FFDEE06"/>
    <w:rsid w:val="2FFFB6B3"/>
    <w:rsid w:val="33985268"/>
    <w:rsid w:val="34BD524D"/>
    <w:rsid w:val="35941111"/>
    <w:rsid w:val="36CC1E4E"/>
    <w:rsid w:val="36FA15A0"/>
    <w:rsid w:val="372FDDFF"/>
    <w:rsid w:val="379E153E"/>
    <w:rsid w:val="37BF290B"/>
    <w:rsid w:val="37C60582"/>
    <w:rsid w:val="389B0D91"/>
    <w:rsid w:val="38EA7668"/>
    <w:rsid w:val="39DFD9A5"/>
    <w:rsid w:val="3A223F8F"/>
    <w:rsid w:val="3AD14A3A"/>
    <w:rsid w:val="3B39D7AA"/>
    <w:rsid w:val="3C1F6B58"/>
    <w:rsid w:val="3D4D7A91"/>
    <w:rsid w:val="3DFE6701"/>
    <w:rsid w:val="3EBF7627"/>
    <w:rsid w:val="3F306FCE"/>
    <w:rsid w:val="3F7F0645"/>
    <w:rsid w:val="3FADC137"/>
    <w:rsid w:val="3FCF1AC2"/>
    <w:rsid w:val="3FEC556C"/>
    <w:rsid w:val="40941DF7"/>
    <w:rsid w:val="4207661A"/>
    <w:rsid w:val="42351107"/>
    <w:rsid w:val="43CE5931"/>
    <w:rsid w:val="44DB3186"/>
    <w:rsid w:val="45CF7AC1"/>
    <w:rsid w:val="46E70530"/>
    <w:rsid w:val="49A42E35"/>
    <w:rsid w:val="4AAD4A10"/>
    <w:rsid w:val="4C332653"/>
    <w:rsid w:val="4D0A697F"/>
    <w:rsid w:val="4DCA162C"/>
    <w:rsid w:val="4DCE6CD0"/>
    <w:rsid w:val="4F3E9F7C"/>
    <w:rsid w:val="4F531694"/>
    <w:rsid w:val="50B013FA"/>
    <w:rsid w:val="50D821D5"/>
    <w:rsid w:val="5182253C"/>
    <w:rsid w:val="51A93094"/>
    <w:rsid w:val="53AC2736"/>
    <w:rsid w:val="54087F0A"/>
    <w:rsid w:val="547B0F08"/>
    <w:rsid w:val="549E7EAE"/>
    <w:rsid w:val="54CE11F7"/>
    <w:rsid w:val="55147F95"/>
    <w:rsid w:val="563B5507"/>
    <w:rsid w:val="56FC9C1A"/>
    <w:rsid w:val="57434721"/>
    <w:rsid w:val="5767499E"/>
    <w:rsid w:val="57E422FA"/>
    <w:rsid w:val="58EFADC9"/>
    <w:rsid w:val="58F9991F"/>
    <w:rsid w:val="5B837AC1"/>
    <w:rsid w:val="5BDFB10A"/>
    <w:rsid w:val="5C694E11"/>
    <w:rsid w:val="5C9C6AAC"/>
    <w:rsid w:val="5DD25F7F"/>
    <w:rsid w:val="5E4F2ED0"/>
    <w:rsid w:val="5E798EEC"/>
    <w:rsid w:val="5E9A183E"/>
    <w:rsid w:val="5EDE2946"/>
    <w:rsid w:val="5F1F0576"/>
    <w:rsid w:val="5F683176"/>
    <w:rsid w:val="5FA83285"/>
    <w:rsid w:val="5FB59DEF"/>
    <w:rsid w:val="5FBF545F"/>
    <w:rsid w:val="5FF945EF"/>
    <w:rsid w:val="5FFE0CF1"/>
    <w:rsid w:val="5FFE1CCB"/>
    <w:rsid w:val="600B06A1"/>
    <w:rsid w:val="611D159C"/>
    <w:rsid w:val="62483DC1"/>
    <w:rsid w:val="633868DE"/>
    <w:rsid w:val="64072E9A"/>
    <w:rsid w:val="64143B76"/>
    <w:rsid w:val="65834F1A"/>
    <w:rsid w:val="65B32099"/>
    <w:rsid w:val="65FDB19B"/>
    <w:rsid w:val="66271936"/>
    <w:rsid w:val="662E75B1"/>
    <w:rsid w:val="66FFDF7B"/>
    <w:rsid w:val="675A3E30"/>
    <w:rsid w:val="67F774EE"/>
    <w:rsid w:val="68717A34"/>
    <w:rsid w:val="692E04C4"/>
    <w:rsid w:val="695A7623"/>
    <w:rsid w:val="69E057C4"/>
    <w:rsid w:val="6BBD16D1"/>
    <w:rsid w:val="6BDA59F3"/>
    <w:rsid w:val="6C0F62D2"/>
    <w:rsid w:val="6D471526"/>
    <w:rsid w:val="6DFBD675"/>
    <w:rsid w:val="6E100D58"/>
    <w:rsid w:val="6EFF267F"/>
    <w:rsid w:val="6F14284D"/>
    <w:rsid w:val="6F5B4158"/>
    <w:rsid w:val="6F6789B1"/>
    <w:rsid w:val="6F6F622E"/>
    <w:rsid w:val="6FD9FD59"/>
    <w:rsid w:val="6FDD1277"/>
    <w:rsid w:val="6FFD7C6A"/>
    <w:rsid w:val="6FFFC342"/>
    <w:rsid w:val="71D7166A"/>
    <w:rsid w:val="727331D4"/>
    <w:rsid w:val="73013F76"/>
    <w:rsid w:val="73B33B60"/>
    <w:rsid w:val="741F5248"/>
    <w:rsid w:val="743930F7"/>
    <w:rsid w:val="753F3DAF"/>
    <w:rsid w:val="754B2020"/>
    <w:rsid w:val="757C06A6"/>
    <w:rsid w:val="769034A8"/>
    <w:rsid w:val="76D113BE"/>
    <w:rsid w:val="771850AB"/>
    <w:rsid w:val="7739AC70"/>
    <w:rsid w:val="77530527"/>
    <w:rsid w:val="777BE54A"/>
    <w:rsid w:val="77EE4A9E"/>
    <w:rsid w:val="77FD2EAD"/>
    <w:rsid w:val="782C73ED"/>
    <w:rsid w:val="78F03A78"/>
    <w:rsid w:val="78FF5C5C"/>
    <w:rsid w:val="793350B4"/>
    <w:rsid w:val="797F68B9"/>
    <w:rsid w:val="7A0A6D43"/>
    <w:rsid w:val="7AEF7D6A"/>
    <w:rsid w:val="7B76CAF4"/>
    <w:rsid w:val="7BB85F2B"/>
    <w:rsid w:val="7BB8EF91"/>
    <w:rsid w:val="7BBF8BF2"/>
    <w:rsid w:val="7BE41EC0"/>
    <w:rsid w:val="7BF35BD9"/>
    <w:rsid w:val="7BFE6B30"/>
    <w:rsid w:val="7BFF2E41"/>
    <w:rsid w:val="7BFF4FC2"/>
    <w:rsid w:val="7BFF637C"/>
    <w:rsid w:val="7C6F65D5"/>
    <w:rsid w:val="7C7B3553"/>
    <w:rsid w:val="7D4E5005"/>
    <w:rsid w:val="7D6027A4"/>
    <w:rsid w:val="7DD75B6E"/>
    <w:rsid w:val="7DD9AC86"/>
    <w:rsid w:val="7DEF0640"/>
    <w:rsid w:val="7DF766F3"/>
    <w:rsid w:val="7DFE54EF"/>
    <w:rsid w:val="7E7094CA"/>
    <w:rsid w:val="7EAE1BE7"/>
    <w:rsid w:val="7EBF84D8"/>
    <w:rsid w:val="7EDDC985"/>
    <w:rsid w:val="7EFBE126"/>
    <w:rsid w:val="7F4D88D4"/>
    <w:rsid w:val="7F630CC9"/>
    <w:rsid w:val="7F6D770D"/>
    <w:rsid w:val="7F9EB33C"/>
    <w:rsid w:val="7FB61AAF"/>
    <w:rsid w:val="7FBE4F9C"/>
    <w:rsid w:val="7FF4E046"/>
    <w:rsid w:val="7FF7A8B4"/>
    <w:rsid w:val="7FF905F6"/>
    <w:rsid w:val="7FFB5351"/>
    <w:rsid w:val="7FFF3F98"/>
    <w:rsid w:val="973F3BE5"/>
    <w:rsid w:val="9EEFA84E"/>
    <w:rsid w:val="9F15C2C6"/>
    <w:rsid w:val="9F5B470C"/>
    <w:rsid w:val="9F6F2D8D"/>
    <w:rsid w:val="A3C74F9F"/>
    <w:rsid w:val="A3EB519C"/>
    <w:rsid w:val="A976FD9E"/>
    <w:rsid w:val="AF7618A1"/>
    <w:rsid w:val="AFBD499A"/>
    <w:rsid w:val="AFCF6FA3"/>
    <w:rsid w:val="B1BC00CC"/>
    <w:rsid w:val="B6FF8623"/>
    <w:rsid w:val="B7332359"/>
    <w:rsid w:val="B7F8869C"/>
    <w:rsid w:val="B93B0497"/>
    <w:rsid w:val="B9DF0EA8"/>
    <w:rsid w:val="BB75B40A"/>
    <w:rsid w:val="BBB5275F"/>
    <w:rsid w:val="BBDECFCA"/>
    <w:rsid w:val="BBF74E6F"/>
    <w:rsid w:val="BDFE199C"/>
    <w:rsid w:val="BE98A236"/>
    <w:rsid w:val="BEAF089E"/>
    <w:rsid w:val="CAF51793"/>
    <w:rsid w:val="CECF5AE7"/>
    <w:rsid w:val="CEFF792C"/>
    <w:rsid w:val="D8AC84CC"/>
    <w:rsid w:val="D8F7B03B"/>
    <w:rsid w:val="D8FF1045"/>
    <w:rsid w:val="DADA032D"/>
    <w:rsid w:val="DCCEDAEC"/>
    <w:rsid w:val="DDB75B35"/>
    <w:rsid w:val="DDF7E301"/>
    <w:rsid w:val="DECD04FA"/>
    <w:rsid w:val="DED0082A"/>
    <w:rsid w:val="DF7CD6F9"/>
    <w:rsid w:val="DFBBBF1E"/>
    <w:rsid w:val="DFFBDBCC"/>
    <w:rsid w:val="E7FE9B35"/>
    <w:rsid w:val="E873F7FE"/>
    <w:rsid w:val="EBD6572A"/>
    <w:rsid w:val="EBF23A20"/>
    <w:rsid w:val="EBFF996D"/>
    <w:rsid w:val="EDBBFCCA"/>
    <w:rsid w:val="EDDFF1FA"/>
    <w:rsid w:val="EE75E613"/>
    <w:rsid w:val="EE97B729"/>
    <w:rsid w:val="EED58F4E"/>
    <w:rsid w:val="EED7E31D"/>
    <w:rsid w:val="EEFFDC66"/>
    <w:rsid w:val="EFCF4F3E"/>
    <w:rsid w:val="EFEAB7F8"/>
    <w:rsid w:val="EFEE2D28"/>
    <w:rsid w:val="F1FCD8E8"/>
    <w:rsid w:val="F7733FF4"/>
    <w:rsid w:val="F7AD0042"/>
    <w:rsid w:val="F7FB51DC"/>
    <w:rsid w:val="F7FBB5D4"/>
    <w:rsid w:val="F8FF4F56"/>
    <w:rsid w:val="F9F7B318"/>
    <w:rsid w:val="FAFF8671"/>
    <w:rsid w:val="FB77DFA1"/>
    <w:rsid w:val="FBB63CB9"/>
    <w:rsid w:val="FBBB5CD8"/>
    <w:rsid w:val="FBBDB797"/>
    <w:rsid w:val="FBD6F980"/>
    <w:rsid w:val="FBE62032"/>
    <w:rsid w:val="FBE70A3F"/>
    <w:rsid w:val="FBF7DBA1"/>
    <w:rsid w:val="FBFB4BE0"/>
    <w:rsid w:val="FC3476A6"/>
    <w:rsid w:val="FCCF8FB6"/>
    <w:rsid w:val="FCE3D73F"/>
    <w:rsid w:val="FCEB7398"/>
    <w:rsid w:val="FCFD9A2B"/>
    <w:rsid w:val="FD5E3BFD"/>
    <w:rsid w:val="FD7A6CC0"/>
    <w:rsid w:val="FD7EFD80"/>
    <w:rsid w:val="FD7FBDBC"/>
    <w:rsid w:val="FDDB109B"/>
    <w:rsid w:val="FDFA6904"/>
    <w:rsid w:val="FECBF09F"/>
    <w:rsid w:val="FED2765D"/>
    <w:rsid w:val="FEFF4D8A"/>
    <w:rsid w:val="FF4395AC"/>
    <w:rsid w:val="FFB595D3"/>
    <w:rsid w:val="FFBCCBC1"/>
    <w:rsid w:val="FFBFBF69"/>
    <w:rsid w:val="FFBFFEB8"/>
    <w:rsid w:val="FFC1024A"/>
    <w:rsid w:val="FFE8D2B6"/>
    <w:rsid w:val="FFF0A691"/>
    <w:rsid w:val="FFFF9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rFonts w:ascii="Calibri" w:hAnsi="Calibri" w:eastAsia="黑体"/>
      <w:b/>
      <w:kern w:val="44"/>
      <w:sz w:val="32"/>
    </w:rPr>
  </w:style>
  <w:style w:type="paragraph" w:styleId="3">
    <w:name w:val="heading 4"/>
    <w:next w:val="1"/>
    <w:qFormat/>
    <w:uiPriority w:val="0"/>
    <w:pPr>
      <w:keepNext/>
      <w:widowControl w:val="0"/>
      <w:autoSpaceDE w:val="0"/>
      <w:autoSpaceDN w:val="0"/>
      <w:adjustRightInd w:val="0"/>
      <w:snapToGrid w:val="0"/>
      <w:spacing w:line="300" w:lineRule="auto"/>
      <w:jc w:val="center"/>
      <w:outlineLvl w:val="3"/>
    </w:pPr>
    <w:rPr>
      <w:rFonts w:ascii="Times New Roman" w:hAnsi="Times New Roman" w:eastAsia="公文小标宋简" w:cs="Times New Roman"/>
      <w:b/>
      <w:snapToGrid w:val="0"/>
      <w:spacing w:val="6"/>
      <w:kern w:val="32"/>
      <w:sz w:val="44"/>
      <w:szCs w:val="24"/>
      <w:lang w:val="en-US" w:eastAsia="zh-CN" w:bidi="ar-SA"/>
    </w:rPr>
  </w:style>
  <w:style w:type="paragraph" w:styleId="4">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中山市公安局</Company>
  <Pages>45</Pages>
  <Words>27693</Words>
  <Characters>28822</Characters>
  <Paragraphs>321</Paragraphs>
  <TotalTime>0</TotalTime>
  <ScaleCrop>false</ScaleCrop>
  <LinksUpToDate>false</LinksUpToDate>
  <CharactersWithSpaces>28864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2024-11-04T17:04:00Z</dcterms:created>
  <dc:creator>Administrator</dc:creator>
  <cp:lastModifiedBy>吴日保</cp:lastModifiedBy>
  <cp:lastPrinted>2025-03-04T21:32:00Z</cp:lastPrinted>
  <dcterms:modified xsi:type="dcterms:W3CDTF">2025-04-28T03:00:12Z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CA8C4C6056A446EC96460C589466767F_13</vt:lpwstr>
  </property>
</Properties>
</file>