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关于启用</w:t>
      </w:r>
      <w:r>
        <w:rPr>
          <w:rFonts w:hint="eastAsia" w:ascii="方正小标宋简体" w:hAnsi="方正小标宋简体" w:eastAsia="方正小标宋简体" w:cs="方正小标宋简体"/>
          <w:sz w:val="44"/>
          <w:szCs w:val="44"/>
          <w:lang w:eastAsia="zh-CN"/>
        </w:rPr>
        <w:t>神湾</w:t>
      </w:r>
      <w:r>
        <w:rPr>
          <w:rFonts w:hint="eastAsia" w:ascii="方正小标宋简体" w:hAnsi="方正小标宋简体" w:eastAsia="方正小标宋简体" w:cs="方正小标宋简体"/>
          <w:sz w:val="44"/>
          <w:szCs w:val="44"/>
        </w:rPr>
        <w:t>镇</w:t>
      </w:r>
      <w:r>
        <w:rPr>
          <w:rFonts w:hint="eastAsia" w:ascii="方正小标宋简体" w:hAnsi="方正小标宋简体" w:eastAsia="方正小标宋简体" w:cs="方正小标宋简体"/>
          <w:sz w:val="44"/>
          <w:szCs w:val="44"/>
          <w:lang w:val="en-US" w:eastAsia="zh-CN"/>
        </w:rPr>
        <w:t>105国道</w:t>
      </w:r>
      <w:r>
        <w:rPr>
          <w:rFonts w:hint="eastAsia" w:ascii="方正小标宋简体" w:hAnsi="方正小标宋简体" w:eastAsia="方正小标宋简体" w:cs="方正小标宋简体"/>
          <w:sz w:val="44"/>
          <w:szCs w:val="44"/>
        </w:rPr>
        <w:t>路段等交通技术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监控设备抓拍交通违法行为的通告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为改善交通秩序，预防和减少道路交通事故的发生，自202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日00时00分起，中山市公安局交通警察支队决定启用中山市</w:t>
      </w:r>
      <w:r>
        <w:rPr>
          <w:rFonts w:hint="eastAsia" w:ascii="仿宋_GB2312" w:hAnsi="仿宋_GB2312" w:eastAsia="仿宋_GB2312" w:cs="仿宋_GB2312"/>
          <w:sz w:val="32"/>
          <w:szCs w:val="32"/>
          <w:lang w:eastAsia="zh-CN"/>
        </w:rPr>
        <w:t>神湾</w:t>
      </w:r>
      <w:r>
        <w:rPr>
          <w:rFonts w:hint="eastAsia" w:ascii="仿宋_GB2312" w:hAnsi="仿宋_GB2312" w:eastAsia="仿宋_GB2312" w:cs="仿宋_GB2312"/>
          <w:sz w:val="32"/>
          <w:szCs w:val="32"/>
        </w:rPr>
        <w:t>镇G228国道6057KM+300M苏家荣牌坊路段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G228国道6057KM+900M围仔村路口路段</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个交通技术监控设备抓拍交通违法行为，现将有关交通技术监控设备点位以及抓拍交通违法行为种类通告如下：</w:t>
      </w:r>
    </w:p>
    <w:tbl>
      <w:tblPr>
        <w:tblStyle w:val="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5747"/>
        <w:gridCol w:w="18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eastAsia" w:ascii="仿宋_GB2312" w:hAnsi="仿宋_GB2312" w:eastAsia="仿宋_GB2312" w:cs="仿宋_GB2312"/>
                <w:sz w:val="21"/>
                <w:szCs w:val="21"/>
              </w:rPr>
            </w:pPr>
            <w:r>
              <w:rPr>
                <w:rFonts w:hint="eastAsia" w:ascii="黑体" w:hAnsi="黑体" w:eastAsia="黑体" w:cs="黑体"/>
                <w:sz w:val="21"/>
                <w:szCs w:val="21"/>
              </w:rPr>
              <w:t>序号</w:t>
            </w:r>
          </w:p>
        </w:tc>
        <w:tc>
          <w:tcPr>
            <w:tcW w:w="5747" w:type="dxa"/>
            <w:vAlign w:val="center"/>
          </w:tcPr>
          <w:p>
            <w:pPr>
              <w:jc w:val="center"/>
              <w:rPr>
                <w:rFonts w:hint="eastAsia" w:ascii="仿宋_GB2312" w:hAnsi="仿宋_GB2312" w:eastAsia="仿宋_GB2312" w:cs="仿宋_GB2312"/>
                <w:sz w:val="21"/>
                <w:szCs w:val="21"/>
              </w:rPr>
            </w:pPr>
            <w:r>
              <w:rPr>
                <w:rFonts w:hint="eastAsia" w:ascii="黑体" w:hAnsi="黑体" w:eastAsia="黑体" w:cs="黑体"/>
                <w:b w:val="0"/>
                <w:bCs w:val="0"/>
                <w:sz w:val="21"/>
                <w:szCs w:val="21"/>
              </w:rPr>
              <w:t>具体点位</w:t>
            </w:r>
          </w:p>
        </w:tc>
        <w:tc>
          <w:tcPr>
            <w:tcW w:w="1816" w:type="dxa"/>
            <w:vAlign w:val="center"/>
          </w:tcPr>
          <w:p>
            <w:pPr>
              <w:jc w:val="center"/>
              <w:rPr>
                <w:rFonts w:hint="eastAsia" w:ascii="仿宋_GB2312" w:hAnsi="仿宋_GB2312" w:eastAsia="黑体" w:cs="仿宋_GB2312"/>
                <w:sz w:val="21"/>
                <w:szCs w:val="21"/>
                <w:lang w:eastAsia="zh-CN"/>
              </w:rPr>
            </w:pPr>
            <w:r>
              <w:rPr>
                <w:rFonts w:hint="eastAsia" w:ascii="黑体" w:hAnsi="黑体" w:eastAsia="黑体" w:cs="黑体"/>
                <w:sz w:val="21"/>
                <w:szCs w:val="21"/>
              </w:rPr>
              <w:t>抓拍的交通违法行为</w:t>
            </w:r>
            <w:r>
              <w:rPr>
                <w:rFonts w:hint="eastAsia" w:ascii="黑体" w:hAnsi="黑体" w:eastAsia="黑体" w:cs="黑体"/>
                <w:sz w:val="21"/>
                <w:szCs w:val="21"/>
                <w:lang w:eastAsia="zh-CN"/>
              </w:rPr>
              <w:t>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95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宋体" w:hAnsi="宋体" w:eastAsia="宋体" w:cs="宋体"/>
                <w:i w:val="0"/>
                <w:color w:val="000000"/>
                <w:kern w:val="0"/>
                <w:sz w:val="24"/>
                <w:szCs w:val="24"/>
                <w:u w:val="none"/>
                <w:lang w:val="en-US" w:eastAsia="zh-CN" w:bidi="ar"/>
              </w:rPr>
              <w:t>1</w:t>
            </w:r>
          </w:p>
        </w:tc>
        <w:tc>
          <w:tcPr>
            <w:tcW w:w="5747"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中山市神湾镇G105国道6057KM+300M南行</w:t>
            </w:r>
          </w:p>
        </w:tc>
        <w:tc>
          <w:tcPr>
            <w:tcW w:w="1816" w:type="dxa"/>
            <w:vAlign w:val="center"/>
          </w:tcPr>
          <w:p>
            <w:pPr>
              <w:keepNext w:val="0"/>
              <w:keepLines w:val="0"/>
              <w:widowControl/>
              <w:suppressLineNumbers w:val="0"/>
              <w:jc w:val="center"/>
              <w:textAlignment w:val="center"/>
              <w:rPr>
                <w:rFonts w:hint="default" w:ascii="仿宋_GB2312" w:hAnsi="仿宋_GB2312" w:eastAsia="仿宋_GB2312" w:cs="仿宋_GB2312"/>
                <w:sz w:val="21"/>
                <w:szCs w:val="21"/>
                <w:lang w:val="en-US"/>
              </w:rPr>
            </w:pPr>
            <w:r>
              <w:rPr>
                <w:rFonts w:hint="eastAsia" w:ascii="仿宋_GB2312" w:hAnsi="仿宋_GB2312" w:eastAsia="仿宋_GB2312" w:cs="仿宋_GB2312"/>
                <w:i w:val="0"/>
                <w:color w:val="000000"/>
                <w:kern w:val="0"/>
                <w:sz w:val="21"/>
                <w:szCs w:val="21"/>
                <w:u w:val="none"/>
                <w:lang w:val="en-US" w:eastAsia="zh-CN" w:bidi="ar"/>
              </w:rPr>
              <w:t>1357、1120、1362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3" w:hRule="atLeast"/>
        </w:trPr>
        <w:tc>
          <w:tcPr>
            <w:tcW w:w="959"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宋体" w:hAnsi="宋体" w:eastAsia="宋体" w:cs="宋体"/>
                <w:i w:val="0"/>
                <w:color w:val="000000"/>
                <w:kern w:val="0"/>
                <w:sz w:val="24"/>
                <w:szCs w:val="24"/>
                <w:u w:val="none"/>
                <w:lang w:val="en-US" w:eastAsia="zh-CN" w:bidi="ar"/>
              </w:rPr>
              <w:t>2</w:t>
            </w:r>
          </w:p>
        </w:tc>
        <w:tc>
          <w:tcPr>
            <w:tcW w:w="5747"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中山市东凤镇G105国道6057KM+900M北行</w:t>
            </w:r>
          </w:p>
        </w:tc>
        <w:tc>
          <w:tcPr>
            <w:tcW w:w="1816"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1357、1120、1362</w:t>
            </w:r>
          </w:p>
        </w:tc>
      </w:tr>
    </w:tbl>
    <w:p>
      <w:pPr>
        <w:tabs>
          <w:tab w:val="right" w:pos="8306"/>
        </w:tabs>
        <w:spacing w:line="360" w:lineRule="auto"/>
        <w:ind w:firstLine="640" w:firstLineChars="200"/>
        <w:rPr>
          <w:rFonts w:hint="default" w:ascii="宋体" w:hAnsi="宋体" w:eastAsia="宋体" w:cs="宋体"/>
          <w:sz w:val="24"/>
          <w:szCs w:val="24"/>
          <w:lang w:val="en-US" w:eastAsia="zh-CN"/>
        </w:rPr>
      </w:pPr>
      <w:r>
        <w:rPr>
          <w:rFonts w:hint="eastAsia" w:ascii="仿宋_GB2312" w:hAnsi="仿宋_GB2312" w:eastAsia="仿宋_GB2312" w:cs="仿宋_GB2312"/>
          <w:sz w:val="32"/>
          <w:szCs w:val="32"/>
          <w:lang w:val="en-US" w:eastAsia="zh-CN"/>
        </w:rPr>
        <w:t>1357</w:t>
      </w:r>
      <w:r>
        <w:rPr>
          <w:rFonts w:hint="eastAsia" w:ascii="仿宋_GB2312" w:hAnsi="仿宋_GB2312" w:eastAsia="仿宋_GB2312" w:cs="仿宋_GB2312"/>
          <w:sz w:val="32"/>
          <w:szCs w:val="32"/>
        </w:rPr>
        <w:t>:</w:t>
      </w:r>
      <w:r>
        <w:rPr>
          <w:rFonts w:hint="eastAsia" w:ascii="仿宋" w:hAnsi="仿宋" w:eastAsia="仿宋" w:cs="仿宋"/>
          <w:color w:val="000000"/>
          <w:kern w:val="0"/>
          <w:sz w:val="32"/>
          <w:szCs w:val="32"/>
          <w:lang w:eastAsia="zh-CN"/>
        </w:rPr>
        <w:t>遇行人正在通过人行横道时未停车让行的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1120</w:t>
      </w:r>
      <w:r>
        <w:rPr>
          <w:rFonts w:hint="eastAsia" w:ascii="仿宋" w:hAnsi="仿宋" w:eastAsia="仿宋" w:cs="仿宋"/>
          <w:kern w:val="0"/>
          <w:sz w:val="32"/>
          <w:szCs w:val="32"/>
        </w:rPr>
        <w:t>驾驶机动车在高速公路以外的道路上行驶时，驾驶人未按规定使用安全带的</w:t>
      </w:r>
      <w:r>
        <w:rPr>
          <w:rFonts w:hint="eastAsia" w:ascii="仿宋" w:hAnsi="仿宋" w:eastAsia="仿宋" w:cs="仿宋"/>
          <w:color w:val="000000"/>
          <w:kern w:val="0"/>
          <w:sz w:val="32"/>
          <w:szCs w:val="32"/>
          <w:lang w:val="zh-CN"/>
        </w:rPr>
        <w:t>；</w:t>
      </w:r>
      <w:r>
        <w:rPr>
          <w:rFonts w:hint="eastAsia" w:ascii="仿宋" w:hAnsi="仿宋" w:eastAsia="仿宋" w:cs="仿宋"/>
          <w:color w:val="000000"/>
          <w:kern w:val="0"/>
          <w:sz w:val="32"/>
          <w:szCs w:val="32"/>
          <w:lang w:val="en-US" w:eastAsia="zh-CN"/>
        </w:rPr>
        <w:t>1362：</w:t>
      </w:r>
      <w:r>
        <w:rPr>
          <w:rFonts w:hint="eastAsia" w:ascii="仿宋" w:hAnsi="仿宋" w:eastAsia="仿宋" w:cs="仿宋"/>
          <w:color w:val="000000"/>
          <w:kern w:val="0"/>
          <w:sz w:val="32"/>
          <w:szCs w:val="32"/>
        </w:rPr>
        <w:t>驾驶时拨打接听手持电话的</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请广大交通参与者自觉遵守道路交通安全法律法规，共同维护道路交通安全畅通。</w:t>
      </w:r>
    </w:p>
    <w:p>
      <w:pPr>
        <w:ind w:firstLine="3520" w:firstLineChars="1100"/>
        <w:jc w:val="left"/>
        <w:rPr>
          <w:rFonts w:hint="eastAsia" w:ascii="仿宋_GB2312" w:hAnsi="仿宋_GB2312" w:eastAsia="仿宋_GB2312" w:cs="仿宋_GB2312"/>
          <w:sz w:val="32"/>
          <w:szCs w:val="32"/>
          <w:lang w:eastAsia="zh-CN"/>
        </w:rPr>
      </w:pPr>
    </w:p>
    <w:p>
      <w:pPr>
        <w:ind w:firstLine="3520" w:firstLineChars="1100"/>
        <w:jc w:val="left"/>
        <w:rPr>
          <w:rFonts w:hint="eastAsia" w:ascii="仿宋_GB2312" w:hAnsi="仿宋_GB2312" w:eastAsia="仿宋_GB2312" w:cs="仿宋_GB2312"/>
          <w:sz w:val="32"/>
          <w:szCs w:val="32"/>
          <w:lang w:eastAsia="zh-CN"/>
        </w:rPr>
      </w:pPr>
    </w:p>
    <w:p>
      <w:pPr>
        <w:ind w:firstLine="4160" w:firstLineChars="13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中山市公安局交通警察支队</w:t>
      </w:r>
    </w:p>
    <w:p>
      <w:pPr>
        <w:ind w:firstLine="4800" w:firstLineChars="1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月</w:t>
      </w:r>
      <w:r>
        <w:rPr>
          <w:rFonts w:hint="default" w:ascii="仿宋_GB2312" w:hAnsi="仿宋_GB2312" w:eastAsia="仿宋_GB2312" w:cs="仿宋_GB2312"/>
          <w:sz w:val="32"/>
          <w:szCs w:val="32"/>
          <w:lang w:eastAsia="zh-CN"/>
        </w:rPr>
        <w:t>10</w:t>
      </w:r>
      <w:r>
        <w:rPr>
          <w:rFonts w:hint="eastAsia" w:ascii="仿宋_GB2312" w:hAnsi="仿宋_GB2312" w:eastAsia="仿宋_GB2312" w:cs="仿宋_GB2312"/>
          <w:sz w:val="32"/>
          <w:szCs w:val="32"/>
          <w:lang w:eastAsia="zh-CN"/>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文泉驿微米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altName w:val="文泉驿微米黑"/>
    <w:panose1 w:val="03000509000000000000"/>
    <w:charset w:val="86"/>
    <w:family w:val="auto"/>
    <w:pitch w:val="default"/>
    <w:sig w:usb0="00000000" w:usb1="00000000" w:usb2="00000000" w:usb3="00000000" w:csb0="00040000" w:csb1="00000000"/>
  </w:font>
  <w:font w:name="仿宋_GB2312">
    <w:altName w:val="文泉驿微米黑"/>
    <w:panose1 w:val="02010609030101010101"/>
    <w:charset w:val="86"/>
    <w:family w:val="auto"/>
    <w:pitch w:val="default"/>
    <w:sig w:usb0="00000000" w:usb1="00000000" w:usb2="00000000" w:usb3="00000000" w:csb0="00040000" w:csb1="00000000"/>
  </w:font>
  <w:font w:name="仿宋">
    <w:altName w:val="文泉驿微米黑"/>
    <w:panose1 w:val="02010609060101010101"/>
    <w:charset w:val="86"/>
    <w:family w:val="auto"/>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91361A"/>
    <w:rsid w:val="649F29C1"/>
    <w:rsid w:val="7A7390CB"/>
    <w:rsid w:val="7EBC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lanc</cp:lastModifiedBy>
  <dcterms:modified xsi:type="dcterms:W3CDTF">2023-03-10T08:59:24Z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